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EBA" w:rsidRDefault="00D718C0" w:rsidP="00D718C0">
      <w:pPr>
        <w:rPr>
          <w:sz w:val="48"/>
          <w:szCs w:val="24"/>
        </w:rPr>
      </w:pPr>
      <w:r w:rsidRPr="00D718C0">
        <w:rPr>
          <w:sz w:val="48"/>
          <w:szCs w:val="24"/>
        </w:rPr>
        <w:t xml:space="preserve">Pressemitteilung </w:t>
      </w:r>
    </w:p>
    <w:p w:rsidR="005B7EBA" w:rsidRDefault="00D718C0" w:rsidP="00D718C0">
      <w:pPr>
        <w:rPr>
          <w:sz w:val="48"/>
          <w:szCs w:val="24"/>
        </w:rPr>
      </w:pPr>
      <w:r w:rsidRPr="00D718C0">
        <w:rPr>
          <w:sz w:val="48"/>
          <w:szCs w:val="24"/>
        </w:rPr>
        <w:t>Impfstopp sofort</w:t>
      </w:r>
      <w:r w:rsidR="005B7EBA">
        <w:rPr>
          <w:sz w:val="48"/>
          <w:szCs w:val="24"/>
        </w:rPr>
        <w:t xml:space="preserve"> – </w:t>
      </w:r>
      <w:r w:rsidR="005B7EBA" w:rsidRPr="00BE7CB1">
        <w:rPr>
          <w:i/>
          <w:sz w:val="48"/>
          <w:szCs w:val="24"/>
        </w:rPr>
        <w:t xml:space="preserve">in </w:t>
      </w:r>
      <w:proofErr w:type="spellStart"/>
      <w:r w:rsidR="005B7EBA" w:rsidRPr="00BE7CB1">
        <w:rPr>
          <w:i/>
          <w:sz w:val="48"/>
          <w:szCs w:val="24"/>
        </w:rPr>
        <w:t>dubio</w:t>
      </w:r>
      <w:proofErr w:type="spellEnd"/>
      <w:r w:rsidR="005B7EBA">
        <w:rPr>
          <w:sz w:val="48"/>
          <w:szCs w:val="24"/>
        </w:rPr>
        <w:t xml:space="preserve"> pro Gesundheit und contra Risiken</w:t>
      </w:r>
    </w:p>
    <w:p w:rsidR="00D718C0" w:rsidRPr="00D718C0" w:rsidRDefault="00D718C0" w:rsidP="00D718C0">
      <w:pPr>
        <w:rPr>
          <w:sz w:val="24"/>
          <w:szCs w:val="24"/>
        </w:rPr>
      </w:pPr>
      <w:r w:rsidRPr="00D718C0">
        <w:rPr>
          <w:sz w:val="48"/>
          <w:szCs w:val="24"/>
        </w:rPr>
        <w:br/>
      </w:r>
      <w:r w:rsidRPr="00D718C0">
        <w:rPr>
          <w:sz w:val="24"/>
          <w:szCs w:val="24"/>
        </w:rPr>
        <w:t>22. Februar 2022</w:t>
      </w:r>
      <w:r w:rsidR="0073413D">
        <w:rPr>
          <w:sz w:val="24"/>
          <w:szCs w:val="24"/>
        </w:rPr>
        <w:t xml:space="preserve"> </w:t>
      </w:r>
      <w:r w:rsidR="005D70A4" w:rsidRPr="005D70A4">
        <w:rPr>
          <w:i/>
          <w:sz w:val="24"/>
          <w:szCs w:val="24"/>
        </w:rPr>
        <w:t xml:space="preserve">– </w:t>
      </w:r>
      <w:r w:rsidR="0073413D" w:rsidRPr="005D70A4">
        <w:rPr>
          <w:i/>
          <w:sz w:val="24"/>
          <w:szCs w:val="24"/>
        </w:rPr>
        <w:t>Stand 24.02.2022</w:t>
      </w:r>
    </w:p>
    <w:p w:rsidR="00D718C0" w:rsidRPr="00D718C0" w:rsidRDefault="00D718C0" w:rsidP="00D718C0">
      <w:pPr>
        <w:rPr>
          <w:b/>
          <w:sz w:val="24"/>
          <w:szCs w:val="24"/>
        </w:rPr>
      </w:pPr>
      <w:r w:rsidRPr="00D718C0">
        <w:rPr>
          <w:b/>
          <w:sz w:val="24"/>
          <w:szCs w:val="24"/>
        </w:rPr>
        <w:t xml:space="preserve">Zweifel gibt es bezüglich der COVID-19-Impfstoffe und ihren Wirkungen. Im Zweifel galt bisher in unserer Gesellschaft, dass alles für die Sicherheit und die Gesundheit der Menschen getan werden muss. </w:t>
      </w:r>
    </w:p>
    <w:p w:rsidR="00D718C0" w:rsidRPr="00D718C0" w:rsidRDefault="00D718C0" w:rsidP="00D718C0">
      <w:pPr>
        <w:rPr>
          <w:b/>
          <w:sz w:val="24"/>
          <w:szCs w:val="24"/>
        </w:rPr>
      </w:pPr>
      <w:r w:rsidRPr="00D718C0">
        <w:rPr>
          <w:b/>
          <w:sz w:val="24"/>
          <w:szCs w:val="24"/>
        </w:rPr>
        <w:t xml:space="preserve">Die folgende Präsentation macht klar: </w:t>
      </w:r>
    </w:p>
    <w:p w:rsidR="00D718C0" w:rsidRPr="00D718C0" w:rsidRDefault="00D718C0" w:rsidP="00D718C0">
      <w:pPr>
        <w:numPr>
          <w:ilvl w:val="0"/>
          <w:numId w:val="7"/>
        </w:numPr>
        <w:rPr>
          <w:b/>
          <w:sz w:val="24"/>
          <w:szCs w:val="24"/>
        </w:rPr>
      </w:pPr>
      <w:r w:rsidRPr="00D718C0">
        <w:rPr>
          <w:b/>
          <w:sz w:val="24"/>
          <w:szCs w:val="24"/>
        </w:rPr>
        <w:t>Eine konsistente Produktqualität der COVID-19-Impfstoffe ist nicht gesichert und es gibt extreme Verträglichkeitsunterschiede zwischen den Chargen – explizit nachgewiesen für die vorwiegend eingesetzten mRNA-Impfstoffe.</w:t>
      </w:r>
    </w:p>
    <w:p w:rsidR="00D718C0" w:rsidRPr="00D718C0" w:rsidRDefault="00D718C0" w:rsidP="00D718C0">
      <w:pPr>
        <w:numPr>
          <w:ilvl w:val="0"/>
          <w:numId w:val="7"/>
        </w:numPr>
        <w:rPr>
          <w:b/>
          <w:sz w:val="24"/>
          <w:szCs w:val="24"/>
        </w:rPr>
      </w:pPr>
      <w:r w:rsidRPr="00D718C0">
        <w:rPr>
          <w:b/>
          <w:sz w:val="24"/>
          <w:szCs w:val="24"/>
        </w:rPr>
        <w:t xml:space="preserve">Die Zahlen zur </w:t>
      </w:r>
      <w:proofErr w:type="spellStart"/>
      <w:r w:rsidRPr="00D718C0">
        <w:rPr>
          <w:b/>
          <w:sz w:val="24"/>
          <w:szCs w:val="24"/>
        </w:rPr>
        <w:t>Coronamortalität</w:t>
      </w:r>
      <w:proofErr w:type="spellEnd"/>
      <w:r w:rsidRPr="00D718C0">
        <w:rPr>
          <w:b/>
          <w:sz w:val="24"/>
          <w:szCs w:val="24"/>
        </w:rPr>
        <w:t xml:space="preserve"> geben nicht die Realität des Pandemiegeschehens wieder; </w:t>
      </w:r>
      <w:r w:rsidRPr="00D718C0">
        <w:rPr>
          <w:b/>
          <w:bCs/>
          <w:sz w:val="24"/>
          <w:szCs w:val="24"/>
        </w:rPr>
        <w:t xml:space="preserve">Zahlen, die auf eine Übersterblichkeit infolge der COVID-19 Impfungen hindeuten, werden </w:t>
      </w:r>
      <w:r w:rsidR="00D429CE">
        <w:rPr>
          <w:b/>
          <w:bCs/>
          <w:sz w:val="24"/>
          <w:szCs w:val="24"/>
        </w:rPr>
        <w:t>nicht korrekt</w:t>
      </w:r>
      <w:r w:rsidR="00D429CE" w:rsidRPr="00D718C0">
        <w:rPr>
          <w:b/>
          <w:bCs/>
          <w:sz w:val="24"/>
          <w:szCs w:val="24"/>
        </w:rPr>
        <w:t xml:space="preserve"> </w:t>
      </w:r>
      <w:r w:rsidRPr="00D718C0">
        <w:rPr>
          <w:b/>
          <w:bCs/>
          <w:sz w:val="24"/>
          <w:szCs w:val="24"/>
        </w:rPr>
        <w:t>interpretiert oder bleiben unbeachtet</w:t>
      </w:r>
      <w:r w:rsidRPr="00D718C0">
        <w:rPr>
          <w:b/>
          <w:sz w:val="24"/>
          <w:szCs w:val="24"/>
        </w:rPr>
        <w:t>.</w:t>
      </w:r>
    </w:p>
    <w:p w:rsidR="00D718C0" w:rsidRPr="00D718C0" w:rsidRDefault="00D718C0" w:rsidP="00D718C0">
      <w:pPr>
        <w:rPr>
          <w:sz w:val="24"/>
          <w:szCs w:val="24"/>
        </w:rPr>
      </w:pPr>
      <w:r w:rsidRPr="00D718C0">
        <w:rPr>
          <w:sz w:val="24"/>
          <w:szCs w:val="24"/>
        </w:rPr>
        <w:t xml:space="preserve">Aktuelle Rechercheergebnisse (Stand Jan./Feb. 2022) von Barbara </w:t>
      </w:r>
      <w:proofErr w:type="spellStart"/>
      <w:r w:rsidRPr="00D718C0">
        <w:rPr>
          <w:sz w:val="24"/>
          <w:szCs w:val="24"/>
        </w:rPr>
        <w:t>Lattrell</w:t>
      </w:r>
      <w:proofErr w:type="spellEnd"/>
      <w:r w:rsidRPr="00D718C0">
        <w:rPr>
          <w:sz w:val="24"/>
          <w:szCs w:val="24"/>
        </w:rPr>
        <w:t xml:space="preserve"> (Diplom-Agraringenieurin der Fachrichtung Umweltsicherung und seit über 20 Jahren als Medical Marketing Managerin und medizinisch-wissenschaftliche Autorin freiberuflich tätig) zeigen in zwei anschaulichen Präsentationen detailliert unzulässige Vorgehensweisen sowie wesentliche Fehler und Versäumnisse im Umgang mit den mRNA-Impfstoffen (Teil 1) und Zahlen zur Corona-Übersterblichkeit (Teil 2) auf. </w:t>
      </w:r>
    </w:p>
    <w:p w:rsidR="00D718C0" w:rsidRPr="00D718C0" w:rsidRDefault="00D718C0" w:rsidP="002524AD">
      <w:pPr>
        <w:ind w:left="938" w:hanging="938"/>
        <w:rPr>
          <w:sz w:val="24"/>
          <w:szCs w:val="24"/>
        </w:rPr>
      </w:pPr>
      <w:r w:rsidRPr="00D718C0">
        <w:rPr>
          <w:sz w:val="24"/>
          <w:szCs w:val="24"/>
          <w:u w:val="single"/>
        </w:rPr>
        <w:t>Zu Teil 1:</w:t>
      </w:r>
      <w:r w:rsidR="00E011F1">
        <w:rPr>
          <w:b/>
          <w:sz w:val="24"/>
          <w:szCs w:val="24"/>
        </w:rPr>
        <w:tab/>
      </w:r>
      <w:r w:rsidRPr="00D718C0">
        <w:rPr>
          <w:sz w:val="24"/>
          <w:szCs w:val="24"/>
        </w:rPr>
        <w:t xml:space="preserve">Die bedingte Zulassung der mRNA-Impfstoffe fand im Schnellverfahren (Rolling Review) statt, obwohl ein völlig neues, bisher am Menschen </w:t>
      </w:r>
      <w:r w:rsidRPr="00D718C0">
        <w:rPr>
          <w:bCs/>
          <w:sz w:val="24"/>
          <w:szCs w:val="24"/>
        </w:rPr>
        <w:t xml:space="preserve">nicht erprobtes Wirkprinzip zum Einsatz kam und </w:t>
      </w:r>
      <w:r w:rsidRPr="00D718C0">
        <w:rPr>
          <w:sz w:val="24"/>
          <w:szCs w:val="24"/>
        </w:rPr>
        <w:t>beide mRNA-Impfstoffe neuartige Hilfsstoffe enthalten, die ausschließlich für Forschungszwecke bestimmt waren („</w:t>
      </w:r>
      <w:proofErr w:type="spellStart"/>
      <w:r w:rsidRPr="00D718C0">
        <w:rPr>
          <w:sz w:val="24"/>
          <w:szCs w:val="24"/>
        </w:rPr>
        <w:t>for</w:t>
      </w:r>
      <w:proofErr w:type="spellEnd"/>
      <w:r w:rsidRPr="00D718C0">
        <w:rPr>
          <w:sz w:val="24"/>
          <w:szCs w:val="24"/>
        </w:rPr>
        <w:t xml:space="preserve"> Research </w:t>
      </w:r>
      <w:proofErr w:type="spellStart"/>
      <w:r w:rsidRPr="00D718C0">
        <w:rPr>
          <w:sz w:val="24"/>
          <w:szCs w:val="24"/>
        </w:rPr>
        <w:t>Use</w:t>
      </w:r>
      <w:proofErr w:type="spellEnd"/>
      <w:r w:rsidRPr="00D718C0">
        <w:rPr>
          <w:sz w:val="24"/>
          <w:szCs w:val="24"/>
        </w:rPr>
        <w:t xml:space="preserve"> </w:t>
      </w:r>
      <w:proofErr w:type="spellStart"/>
      <w:r w:rsidRPr="00D718C0">
        <w:rPr>
          <w:sz w:val="24"/>
          <w:szCs w:val="24"/>
        </w:rPr>
        <w:t>Only</w:t>
      </w:r>
      <w:proofErr w:type="spellEnd"/>
      <w:r w:rsidRPr="00D718C0">
        <w:rPr>
          <w:sz w:val="24"/>
          <w:szCs w:val="24"/>
        </w:rPr>
        <w:t xml:space="preserve">”; RUO). Es handelt sich um die Lipide </w:t>
      </w:r>
      <w:r w:rsidRPr="005B7EBA">
        <w:rPr>
          <w:sz w:val="24"/>
        </w:rPr>
        <w:t xml:space="preserve">ALC-159 und ALC-315 in </w:t>
      </w:r>
      <w:proofErr w:type="spellStart"/>
      <w:r w:rsidRPr="005B7EBA">
        <w:rPr>
          <w:sz w:val="24"/>
        </w:rPr>
        <w:t>Comirnaty</w:t>
      </w:r>
      <w:proofErr w:type="spellEnd"/>
      <w:r w:rsidRPr="005B7EBA">
        <w:rPr>
          <w:sz w:val="24"/>
        </w:rPr>
        <w:t xml:space="preserve"> sowie um SM-102 und DMG-PEG2000 in </w:t>
      </w:r>
      <w:proofErr w:type="spellStart"/>
      <w:r w:rsidRPr="005B7EBA">
        <w:rPr>
          <w:sz w:val="24"/>
        </w:rPr>
        <w:t>Spikevax</w:t>
      </w:r>
      <w:proofErr w:type="spellEnd"/>
      <w:r w:rsidRPr="005B7EBA">
        <w:rPr>
          <w:sz w:val="24"/>
        </w:rPr>
        <w:t xml:space="preserve">. </w:t>
      </w:r>
      <w:r w:rsidRPr="00D718C0">
        <w:rPr>
          <w:sz w:val="24"/>
          <w:szCs w:val="24"/>
        </w:rPr>
        <w:t xml:space="preserve">Toxikologische Eigenschaften wurden nicht gründlich untersucht. Das zeigen u. a. die Beurteilungsberichte (EPAR) der EMA. Zusätzlich angeforderte Daten zum Wirkstoff und zum Enderzeugnis liegen noch immer nicht vor. Hinzu kommt, dass die spezifischen Verpflichtungen der Europäischen Arzneimittelagentur zum Abschluss von Maßnahmen nach der Zulassung unter „Besonderen Bedingungen“ zur Sicherstellung einer gleichbleibenden Produktqualität von den Herstellern </w:t>
      </w:r>
      <w:r w:rsidRPr="00D718C0">
        <w:rPr>
          <w:sz w:val="24"/>
          <w:szCs w:val="24"/>
        </w:rPr>
        <w:lastRenderedPageBreak/>
        <w:t xml:space="preserve">BioNTech/Pfizer und Moderna – mehr als ein Jahr nach der Zulassung der mRNA-Impfstoffe – nicht erfüllt sind, obwohl die Fristen seit August 2021 abgelaufen sind. Eine Auswertung der bis zum 7. Januar 2022 vorliegenden Zahlen der US-Impfdatenbank VAERS zeigt, dass 10.737 der insgesamt 13.431 Todesfälle bei nur 290 von insgesamt rund 20.000 Chargen gemeldet wurden. </w:t>
      </w:r>
      <w:r w:rsidRPr="00D718C0">
        <w:rPr>
          <w:b/>
          <w:sz w:val="24"/>
          <w:szCs w:val="24"/>
        </w:rPr>
        <w:t>Die bedingten Zulassungen (Zulassung unter „Besonderen Bedingungen“) müss</w:t>
      </w:r>
      <w:r w:rsidR="00BE7CB1">
        <w:rPr>
          <w:b/>
          <w:sz w:val="24"/>
          <w:szCs w:val="24"/>
        </w:rPr>
        <w:t>t</w:t>
      </w:r>
      <w:r w:rsidRPr="00D718C0">
        <w:rPr>
          <w:b/>
          <w:sz w:val="24"/>
          <w:szCs w:val="24"/>
        </w:rPr>
        <w:t xml:space="preserve">en daher gemäß § 30 i. V. m. § 25 Absatz 2 Satz 1 AMG </w:t>
      </w:r>
      <w:r w:rsidR="00BE7CB1">
        <w:rPr>
          <w:b/>
          <w:sz w:val="24"/>
          <w:szCs w:val="24"/>
        </w:rPr>
        <w:t xml:space="preserve">sofort </w:t>
      </w:r>
      <w:r w:rsidRPr="00D718C0">
        <w:rPr>
          <w:b/>
          <w:sz w:val="24"/>
          <w:szCs w:val="24"/>
        </w:rPr>
        <w:t>widerrufen werden.</w:t>
      </w:r>
      <w:r w:rsidR="00596048">
        <w:rPr>
          <w:rStyle w:val="Funotenzeichen"/>
          <w:b/>
          <w:sz w:val="24"/>
          <w:szCs w:val="24"/>
        </w:rPr>
        <w:footnoteReference w:id="1"/>
      </w:r>
    </w:p>
    <w:p w:rsidR="00D718C0" w:rsidRPr="00D718C0" w:rsidRDefault="00D718C0" w:rsidP="002524AD">
      <w:pPr>
        <w:tabs>
          <w:tab w:val="num" w:pos="0"/>
        </w:tabs>
        <w:ind w:left="938" w:hanging="938"/>
        <w:rPr>
          <w:sz w:val="24"/>
          <w:szCs w:val="24"/>
        </w:rPr>
      </w:pPr>
      <w:r w:rsidRPr="00D718C0">
        <w:rPr>
          <w:sz w:val="24"/>
          <w:szCs w:val="24"/>
          <w:u w:val="single"/>
        </w:rPr>
        <w:t>Zu Teil 2:</w:t>
      </w:r>
      <w:r w:rsidRPr="00D718C0">
        <w:rPr>
          <w:b/>
          <w:sz w:val="24"/>
          <w:szCs w:val="24"/>
        </w:rPr>
        <w:t xml:space="preserve"> </w:t>
      </w:r>
      <w:r w:rsidR="002524AD">
        <w:rPr>
          <w:b/>
          <w:sz w:val="24"/>
          <w:szCs w:val="24"/>
        </w:rPr>
        <w:tab/>
      </w:r>
      <w:r w:rsidRPr="00D718C0">
        <w:rPr>
          <w:sz w:val="24"/>
          <w:szCs w:val="24"/>
        </w:rPr>
        <w:t xml:space="preserve">Der vom Statistischen Bundesamt aufgezeigte Zusammenhang zwischen Übersterblichkeit und COVID-19-Todesfällen ist wegen ungeeigneter </w:t>
      </w:r>
      <w:r w:rsidRPr="00BE7CB1">
        <w:rPr>
          <w:sz w:val="24"/>
          <w:szCs w:val="24"/>
        </w:rPr>
        <w:t>Erfassungskriterien</w:t>
      </w:r>
      <w:r w:rsidRPr="00D718C0">
        <w:rPr>
          <w:sz w:val="24"/>
          <w:szCs w:val="24"/>
        </w:rPr>
        <w:t xml:space="preserve"> und fehlender kausaler Zusammenhänge nicht belegt. Das trifft zum Teil auch auf die Daten des UK-Office </w:t>
      </w:r>
      <w:proofErr w:type="spellStart"/>
      <w:r w:rsidRPr="00D718C0">
        <w:rPr>
          <w:sz w:val="24"/>
          <w:szCs w:val="24"/>
        </w:rPr>
        <w:t>for</w:t>
      </w:r>
      <w:proofErr w:type="spellEnd"/>
      <w:r w:rsidRPr="00D718C0">
        <w:rPr>
          <w:sz w:val="24"/>
          <w:szCs w:val="24"/>
        </w:rPr>
        <w:t xml:space="preserve"> National </w:t>
      </w:r>
      <w:proofErr w:type="spellStart"/>
      <w:r w:rsidRPr="00D718C0">
        <w:rPr>
          <w:sz w:val="24"/>
          <w:szCs w:val="24"/>
        </w:rPr>
        <w:t>Statistics</w:t>
      </w:r>
      <w:proofErr w:type="spellEnd"/>
      <w:r w:rsidRPr="00D718C0">
        <w:rPr>
          <w:sz w:val="24"/>
          <w:szCs w:val="24"/>
        </w:rPr>
        <w:t xml:space="preserve"> (ONS) zu den Sterberaten nach Impfstatus in England zu.</w:t>
      </w:r>
      <w:r w:rsidRPr="00D718C0">
        <w:rPr>
          <w:sz w:val="24"/>
          <w:szCs w:val="24"/>
          <w:vertAlign w:val="superscript"/>
        </w:rPr>
        <w:footnoteReference w:id="2"/>
      </w:r>
      <w:r w:rsidRPr="00D718C0">
        <w:rPr>
          <w:sz w:val="24"/>
          <w:szCs w:val="24"/>
        </w:rPr>
        <w:t xml:space="preserve"> Eine Auswertung der ONS-Daten zu allen Todesfällen vom Gesamtjahr 2021 zeigt für alle Altersgruppen deutlich erhöhte Sterberaten bei nicht regelmäßig geimpften Personen</w:t>
      </w:r>
      <w:r w:rsidR="00596048">
        <w:rPr>
          <w:rStyle w:val="Funotenzeichen"/>
          <w:sz w:val="24"/>
          <w:szCs w:val="24"/>
        </w:rPr>
        <w:footnoteReference w:id="3"/>
      </w:r>
      <w:r w:rsidRPr="00D718C0">
        <w:rPr>
          <w:sz w:val="24"/>
          <w:szCs w:val="24"/>
        </w:rPr>
        <w:t xml:space="preserve">, die zeitweise die Sterberaten Ungeimpfter um ein Mehrfaches übersteigen und erst Monate nach Impfung auftreten. Bei den 2x Geimpften ist diese Entwicklung erst im 4. Quartal 2021 erkennbar. Diese Zahlen sollten genauer betrachtet werden, da sie auf unerwünschte immunologische Langzeitwirkungen hindeuten, die noch nicht prospektiv untersucht sind. Die Wochenberichte des RKI zur Surveillance der Notaufnahmen während der COVID-19-Pandemie geben </w:t>
      </w:r>
      <w:r w:rsidRPr="00D718C0">
        <w:rPr>
          <w:bCs/>
          <w:sz w:val="24"/>
          <w:szCs w:val="24"/>
        </w:rPr>
        <w:t xml:space="preserve">Hinweise, dass die Nebenwirkungen der Covid-19-Impfungen zu einer Zunahme </w:t>
      </w:r>
      <w:proofErr w:type="gramStart"/>
      <w:r w:rsidRPr="00D718C0">
        <w:rPr>
          <w:bCs/>
          <w:sz w:val="24"/>
          <w:szCs w:val="24"/>
        </w:rPr>
        <w:t>kardiovaskulär und neurologisch bedingter</w:t>
      </w:r>
      <w:proofErr w:type="gramEnd"/>
      <w:r w:rsidRPr="00D718C0">
        <w:rPr>
          <w:bCs/>
          <w:sz w:val="24"/>
          <w:szCs w:val="24"/>
        </w:rPr>
        <w:t xml:space="preserve"> Notaufnahmen geführt haben könnten. Wegen zu kleiner Stichproben sind die Zahlen allerdings nicht aussagekräftig und es sollten daher mehr Daten retrospektiv analysiert werden. Stattdessen werden vom Robert Koch Institut die Daten zur Inanspruchnahme der Notaufnahmen seit Anfang Februar 2022 so dargestellt, dass die alarmierenden Hinweise nicht mehr weiterverfolgt werden können. </w:t>
      </w:r>
      <w:r w:rsidRPr="00D718C0">
        <w:rPr>
          <w:b/>
          <w:bCs/>
          <w:sz w:val="24"/>
          <w:szCs w:val="24"/>
        </w:rPr>
        <w:t xml:space="preserve">Die Beispiele zeigen, dass im großen Stil Zusammenhänge kommuniziert werden, die es gar nicht gibt und Zusammenhänge zwischen Übersterblichkeit und </w:t>
      </w:r>
      <w:r w:rsidRPr="00D718C0">
        <w:rPr>
          <w:b/>
          <w:sz w:val="24"/>
          <w:szCs w:val="24"/>
        </w:rPr>
        <w:t>COVID-19-</w:t>
      </w:r>
      <w:r w:rsidRPr="00D718C0">
        <w:rPr>
          <w:b/>
          <w:bCs/>
          <w:sz w:val="24"/>
          <w:szCs w:val="24"/>
        </w:rPr>
        <w:t>Impfung verschleiert werden</w:t>
      </w:r>
      <w:r w:rsidR="00D429CE">
        <w:rPr>
          <w:b/>
          <w:bCs/>
          <w:sz w:val="24"/>
          <w:szCs w:val="24"/>
        </w:rPr>
        <w:t xml:space="preserve">. Entscheidungen auf </w:t>
      </w:r>
      <w:r w:rsidR="0080656A">
        <w:rPr>
          <w:b/>
          <w:bCs/>
          <w:sz w:val="24"/>
          <w:szCs w:val="24"/>
        </w:rPr>
        <w:t>einer derartigen Datenbasis</w:t>
      </w:r>
      <w:r w:rsidR="00D429CE">
        <w:rPr>
          <w:b/>
          <w:bCs/>
          <w:sz w:val="24"/>
          <w:szCs w:val="24"/>
        </w:rPr>
        <w:t xml:space="preserve"> sind </w:t>
      </w:r>
      <w:r w:rsidR="00760648">
        <w:rPr>
          <w:b/>
          <w:bCs/>
          <w:sz w:val="24"/>
          <w:szCs w:val="24"/>
        </w:rPr>
        <w:t xml:space="preserve">als </w:t>
      </w:r>
      <w:r w:rsidR="00D429CE">
        <w:rPr>
          <w:b/>
          <w:bCs/>
          <w:sz w:val="24"/>
          <w:szCs w:val="24"/>
        </w:rPr>
        <w:t>grob fährlässig</w:t>
      </w:r>
      <w:r w:rsidR="00760648">
        <w:rPr>
          <w:b/>
          <w:bCs/>
          <w:sz w:val="24"/>
          <w:szCs w:val="24"/>
        </w:rPr>
        <w:t xml:space="preserve"> </w:t>
      </w:r>
      <w:r w:rsidR="0080656A">
        <w:rPr>
          <w:b/>
          <w:bCs/>
          <w:sz w:val="24"/>
          <w:szCs w:val="24"/>
        </w:rPr>
        <w:t>zu bewerten</w:t>
      </w:r>
      <w:r w:rsidRPr="00D718C0">
        <w:rPr>
          <w:b/>
          <w:bCs/>
          <w:sz w:val="24"/>
          <w:szCs w:val="24"/>
        </w:rPr>
        <w:t>.</w:t>
      </w:r>
    </w:p>
    <w:p w:rsidR="00D718C0" w:rsidRPr="00D718C0" w:rsidRDefault="00D718C0" w:rsidP="00D718C0">
      <w:pPr>
        <w:rPr>
          <w:sz w:val="24"/>
          <w:szCs w:val="24"/>
        </w:rPr>
      </w:pPr>
      <w:r w:rsidRPr="00D718C0">
        <w:rPr>
          <w:sz w:val="24"/>
          <w:szCs w:val="24"/>
        </w:rPr>
        <w:t xml:space="preserve">Ob es sich hier tatsächlich um unumstößliche Fakten handelt, alle Interpretationen korrekt und die Schlussfolgerungen folgerichtig sind, kann – und sollte – hinterfragt werden. Neue Zweifel wecken diese Unterlagen jedoch mit Sicherheit. </w:t>
      </w:r>
    </w:p>
    <w:p w:rsidR="00D718C0" w:rsidRPr="00D718C0" w:rsidRDefault="00D718C0" w:rsidP="00D718C0">
      <w:pPr>
        <w:rPr>
          <w:sz w:val="24"/>
          <w:szCs w:val="24"/>
        </w:rPr>
      </w:pPr>
      <w:r w:rsidRPr="00D718C0">
        <w:rPr>
          <w:sz w:val="24"/>
          <w:szCs w:val="24"/>
        </w:rPr>
        <w:t xml:space="preserve">Beide Präsentationen können von </w:t>
      </w:r>
      <w:hyperlink r:id="rId8" w:history="1">
        <w:r w:rsidR="00113DE0" w:rsidRPr="00EE6155">
          <w:rPr>
            <w:rStyle w:val="Hyperlink"/>
            <w:sz w:val="24"/>
            <w:szCs w:val="24"/>
          </w:rPr>
          <w:t>www.saynsclub.de/impfstopp-sofort/</w:t>
        </w:r>
      </w:hyperlink>
      <w:r w:rsidRPr="00D718C0">
        <w:rPr>
          <w:sz w:val="24"/>
          <w:szCs w:val="24"/>
        </w:rPr>
        <w:t xml:space="preserve"> als </w:t>
      </w:r>
      <w:proofErr w:type="spellStart"/>
      <w:r w:rsidRPr="00D718C0">
        <w:rPr>
          <w:sz w:val="24"/>
          <w:szCs w:val="24"/>
        </w:rPr>
        <w:t>pdf</w:t>
      </w:r>
      <w:proofErr w:type="spellEnd"/>
      <w:r w:rsidRPr="00D718C0">
        <w:rPr>
          <w:sz w:val="24"/>
          <w:szCs w:val="24"/>
        </w:rPr>
        <w:t xml:space="preserve"> heruntergeladen werden. Die Webseite gibt auch Auskunft über die Kompetenzen von Barbara </w:t>
      </w:r>
      <w:proofErr w:type="spellStart"/>
      <w:r w:rsidRPr="00D718C0">
        <w:rPr>
          <w:sz w:val="24"/>
          <w:szCs w:val="24"/>
        </w:rPr>
        <w:t>Lattrell</w:t>
      </w:r>
      <w:proofErr w:type="spellEnd"/>
      <w:r w:rsidRPr="00D718C0">
        <w:rPr>
          <w:sz w:val="24"/>
          <w:szCs w:val="24"/>
        </w:rPr>
        <w:t xml:space="preserve">. Bearbeitungsfähige </w:t>
      </w:r>
      <w:proofErr w:type="spellStart"/>
      <w:r w:rsidR="00596048" w:rsidRPr="00D718C0">
        <w:rPr>
          <w:sz w:val="24"/>
          <w:szCs w:val="24"/>
        </w:rPr>
        <w:t>p</w:t>
      </w:r>
      <w:r w:rsidR="00596048">
        <w:rPr>
          <w:sz w:val="24"/>
          <w:szCs w:val="24"/>
        </w:rPr>
        <w:t>p</w:t>
      </w:r>
      <w:r w:rsidR="00596048" w:rsidRPr="00D718C0">
        <w:rPr>
          <w:sz w:val="24"/>
          <w:szCs w:val="24"/>
        </w:rPr>
        <w:t>tx</w:t>
      </w:r>
      <w:proofErr w:type="spellEnd"/>
      <w:r w:rsidRPr="00D718C0">
        <w:rPr>
          <w:sz w:val="24"/>
          <w:szCs w:val="24"/>
        </w:rPr>
        <w:t>-Versionen mit Zusatzhinweisen sind bei der Verfasserin erhältlich.</w:t>
      </w:r>
    </w:p>
    <w:p w:rsidR="00D718C0" w:rsidRPr="00D718C0" w:rsidRDefault="00D718C0" w:rsidP="00D718C0">
      <w:pPr>
        <w:rPr>
          <w:b/>
          <w:sz w:val="24"/>
          <w:szCs w:val="24"/>
        </w:rPr>
      </w:pPr>
      <w:r w:rsidRPr="00D718C0">
        <w:rPr>
          <w:b/>
          <w:sz w:val="24"/>
          <w:szCs w:val="24"/>
        </w:rPr>
        <w:lastRenderedPageBreak/>
        <w:t>Kontakt</w:t>
      </w:r>
    </w:p>
    <w:p w:rsidR="00D718C0" w:rsidRPr="00D718C0" w:rsidRDefault="00D718C0" w:rsidP="00D718C0">
      <w:pPr>
        <w:rPr>
          <w:sz w:val="24"/>
          <w:szCs w:val="24"/>
        </w:rPr>
      </w:pPr>
      <w:r w:rsidRPr="00D718C0">
        <w:rPr>
          <w:sz w:val="24"/>
          <w:szCs w:val="24"/>
        </w:rPr>
        <w:t xml:space="preserve">Barbara </w:t>
      </w:r>
      <w:proofErr w:type="spellStart"/>
      <w:r w:rsidRPr="00D718C0">
        <w:rPr>
          <w:sz w:val="24"/>
          <w:szCs w:val="24"/>
        </w:rPr>
        <w:t>Lattrell</w:t>
      </w:r>
      <w:proofErr w:type="spellEnd"/>
      <w:r w:rsidRPr="00D718C0">
        <w:rPr>
          <w:sz w:val="24"/>
          <w:szCs w:val="24"/>
        </w:rPr>
        <w:t xml:space="preserve"> </w:t>
      </w:r>
      <w:r w:rsidRPr="00D718C0">
        <w:rPr>
          <w:sz w:val="24"/>
          <w:szCs w:val="24"/>
        </w:rPr>
        <w:br/>
        <w:t>Telefon: 09189/40 91 17</w:t>
      </w:r>
      <w:r w:rsidRPr="00D718C0">
        <w:rPr>
          <w:sz w:val="24"/>
          <w:szCs w:val="24"/>
        </w:rPr>
        <w:br/>
      </w:r>
      <w:proofErr w:type="spellStart"/>
      <w:r w:rsidRPr="00D718C0">
        <w:rPr>
          <w:sz w:val="24"/>
          <w:szCs w:val="24"/>
        </w:rPr>
        <w:t>eMail</w:t>
      </w:r>
      <w:proofErr w:type="spellEnd"/>
      <w:r w:rsidRPr="00D718C0">
        <w:rPr>
          <w:sz w:val="24"/>
          <w:szCs w:val="24"/>
        </w:rPr>
        <w:t xml:space="preserve">: </w:t>
      </w:r>
      <w:hyperlink r:id="rId9" w:history="1">
        <w:r w:rsidRPr="00D718C0">
          <w:rPr>
            <w:rStyle w:val="Hyperlink"/>
            <w:sz w:val="24"/>
            <w:szCs w:val="24"/>
          </w:rPr>
          <w:t>b_lattrell@yahoo.com</w:t>
        </w:r>
      </w:hyperlink>
      <w:r w:rsidRPr="00D718C0">
        <w:rPr>
          <w:sz w:val="24"/>
          <w:szCs w:val="24"/>
        </w:rPr>
        <w:br/>
        <w:t xml:space="preserve">Internet: </w:t>
      </w:r>
      <w:hyperlink r:id="rId10" w:history="1">
        <w:r w:rsidRPr="00D718C0">
          <w:rPr>
            <w:rStyle w:val="Hyperlink"/>
            <w:sz w:val="24"/>
            <w:szCs w:val="24"/>
          </w:rPr>
          <w:t>www.saynsclub.de</w:t>
        </w:r>
      </w:hyperlink>
      <w:r w:rsidRPr="00D718C0">
        <w:rPr>
          <w:sz w:val="24"/>
          <w:szCs w:val="24"/>
        </w:rPr>
        <w:t xml:space="preserve"> </w:t>
      </w:r>
    </w:p>
    <w:p w:rsidR="006A2D11" w:rsidRDefault="006A2D11" w:rsidP="00D718C0">
      <w:pPr>
        <w:rPr>
          <w:b/>
          <w:sz w:val="24"/>
          <w:szCs w:val="24"/>
        </w:rPr>
      </w:pPr>
    </w:p>
    <w:p w:rsidR="00D718C0" w:rsidRPr="00D718C0" w:rsidRDefault="00D718C0" w:rsidP="00D718C0">
      <w:pPr>
        <w:rPr>
          <w:sz w:val="24"/>
          <w:szCs w:val="24"/>
        </w:rPr>
      </w:pPr>
      <w:r w:rsidRPr="00D718C0">
        <w:rPr>
          <w:b/>
          <w:sz w:val="24"/>
          <w:szCs w:val="24"/>
        </w:rPr>
        <w:t>Zusammenfassung</w:t>
      </w:r>
    </w:p>
    <w:p w:rsidR="00D718C0" w:rsidRPr="00D718C0" w:rsidRDefault="00D718C0" w:rsidP="00D718C0">
      <w:pPr>
        <w:rPr>
          <w:sz w:val="24"/>
          <w:szCs w:val="24"/>
        </w:rPr>
      </w:pPr>
      <w:r w:rsidRPr="00D718C0">
        <w:rPr>
          <w:sz w:val="24"/>
          <w:szCs w:val="24"/>
          <w:u w:val="single"/>
        </w:rPr>
        <w:t>Teil 1:</w:t>
      </w:r>
      <w:r w:rsidRPr="00D718C0">
        <w:rPr>
          <w:sz w:val="24"/>
          <w:szCs w:val="24"/>
        </w:rPr>
        <w:t xml:space="preserve"> </w:t>
      </w:r>
      <w:r w:rsidRPr="00D718C0">
        <w:rPr>
          <w:sz w:val="24"/>
          <w:szCs w:val="24"/>
        </w:rPr>
        <w:tab/>
        <w:t>„</w:t>
      </w:r>
      <w:r w:rsidRPr="00D718C0">
        <w:rPr>
          <w:b/>
          <w:bCs/>
          <w:sz w:val="24"/>
          <w:szCs w:val="24"/>
        </w:rPr>
        <w:t xml:space="preserve">Über die Verwendung von RUOs in mRNA-Impfstoffen </w:t>
      </w:r>
      <w:r w:rsidRPr="00D718C0">
        <w:rPr>
          <w:sz w:val="24"/>
          <w:szCs w:val="24"/>
        </w:rPr>
        <w:br/>
        <w:t>Risiken &amp; Versäumnisse – Unwahrheiten“</w:t>
      </w:r>
    </w:p>
    <w:p w:rsidR="00D718C0" w:rsidRPr="00D718C0" w:rsidRDefault="00D718C0" w:rsidP="00D718C0">
      <w:pPr>
        <w:rPr>
          <w:b/>
          <w:sz w:val="24"/>
          <w:szCs w:val="24"/>
        </w:rPr>
      </w:pPr>
      <w:r w:rsidRPr="00D718C0">
        <w:rPr>
          <w:b/>
          <w:sz w:val="24"/>
          <w:szCs w:val="24"/>
        </w:rPr>
        <w:t>Fakten</w:t>
      </w:r>
    </w:p>
    <w:p w:rsidR="00D718C0" w:rsidRPr="00D718C0" w:rsidRDefault="00D718C0" w:rsidP="00D718C0">
      <w:pPr>
        <w:numPr>
          <w:ilvl w:val="0"/>
          <w:numId w:val="1"/>
        </w:numPr>
        <w:rPr>
          <w:sz w:val="24"/>
          <w:szCs w:val="24"/>
        </w:rPr>
      </w:pPr>
      <w:r w:rsidRPr="005B7EBA">
        <w:rPr>
          <w:sz w:val="24"/>
        </w:rPr>
        <w:t>Die mRNA-Impfstoffe enthalten neuartige Hilfsstoffe, die ausschließlich für Forschungszwecke verwendet werden dürfen („</w:t>
      </w:r>
      <w:proofErr w:type="spellStart"/>
      <w:r w:rsidRPr="005B7EBA">
        <w:rPr>
          <w:sz w:val="24"/>
        </w:rPr>
        <w:t>for</w:t>
      </w:r>
      <w:proofErr w:type="spellEnd"/>
      <w:r w:rsidRPr="005B7EBA">
        <w:rPr>
          <w:sz w:val="24"/>
        </w:rPr>
        <w:t xml:space="preserve"> Research </w:t>
      </w:r>
      <w:proofErr w:type="spellStart"/>
      <w:r w:rsidRPr="005B7EBA">
        <w:rPr>
          <w:sz w:val="24"/>
        </w:rPr>
        <w:t>Use</w:t>
      </w:r>
      <w:proofErr w:type="spellEnd"/>
      <w:r w:rsidRPr="005B7EBA">
        <w:rPr>
          <w:sz w:val="24"/>
        </w:rPr>
        <w:t xml:space="preserve"> </w:t>
      </w:r>
      <w:proofErr w:type="spellStart"/>
      <w:r w:rsidRPr="005B7EBA">
        <w:rPr>
          <w:sz w:val="24"/>
        </w:rPr>
        <w:t>Only</w:t>
      </w:r>
      <w:proofErr w:type="spellEnd"/>
      <w:r w:rsidRPr="005B7EBA">
        <w:rPr>
          <w:sz w:val="24"/>
        </w:rPr>
        <w:t xml:space="preserve">”; RUO). </w:t>
      </w:r>
    </w:p>
    <w:p w:rsidR="00D718C0" w:rsidRPr="00D718C0" w:rsidRDefault="00D718C0" w:rsidP="00D718C0">
      <w:pPr>
        <w:numPr>
          <w:ilvl w:val="0"/>
          <w:numId w:val="1"/>
        </w:numPr>
        <w:rPr>
          <w:sz w:val="24"/>
          <w:szCs w:val="24"/>
        </w:rPr>
      </w:pPr>
      <w:r w:rsidRPr="005B7EBA">
        <w:rPr>
          <w:sz w:val="24"/>
        </w:rPr>
        <w:t xml:space="preserve">RUOs sind Laborsubstanzen, die kaum regulatorischen Kontrollen unterliegen – was eine Anwendung am Menschen – und auch am Tier – von vornherein ausschließt. </w:t>
      </w:r>
    </w:p>
    <w:p w:rsidR="00D718C0" w:rsidRPr="00D718C0" w:rsidRDefault="00D718C0" w:rsidP="00D718C0">
      <w:pPr>
        <w:numPr>
          <w:ilvl w:val="0"/>
          <w:numId w:val="1"/>
        </w:numPr>
        <w:rPr>
          <w:sz w:val="24"/>
          <w:szCs w:val="24"/>
        </w:rPr>
      </w:pPr>
      <w:r w:rsidRPr="00D718C0">
        <w:rPr>
          <w:sz w:val="24"/>
          <w:szCs w:val="24"/>
        </w:rPr>
        <w:t>Die Unbedenklichkeit der neuartigen Lipide – beispielsweise hinsichtlich mutagener Verunreinigungen – ist nicht erwiesen.</w:t>
      </w:r>
      <w:r w:rsidRPr="005B7EBA">
        <w:rPr>
          <w:sz w:val="24"/>
        </w:rPr>
        <w:t xml:space="preserve"> </w:t>
      </w:r>
    </w:p>
    <w:p w:rsidR="00D718C0" w:rsidRPr="00D718C0" w:rsidRDefault="00D718C0" w:rsidP="00D718C0">
      <w:pPr>
        <w:numPr>
          <w:ilvl w:val="1"/>
          <w:numId w:val="1"/>
        </w:numPr>
        <w:rPr>
          <w:sz w:val="24"/>
          <w:szCs w:val="24"/>
        </w:rPr>
      </w:pPr>
      <w:r w:rsidRPr="005B7EBA">
        <w:rPr>
          <w:sz w:val="24"/>
        </w:rPr>
        <w:t>Dennoch wurden die experimentellen Substanzen ALC-159 und ALC-315 (</w:t>
      </w:r>
      <w:proofErr w:type="spellStart"/>
      <w:r w:rsidRPr="005B7EBA">
        <w:rPr>
          <w:sz w:val="24"/>
        </w:rPr>
        <w:t>Comirnaty</w:t>
      </w:r>
      <w:proofErr w:type="spellEnd"/>
      <w:r w:rsidRPr="005B7EBA">
        <w:rPr>
          <w:sz w:val="24"/>
        </w:rPr>
        <w:t>) sowie SM-102 und DMG-PEG2000 (</w:t>
      </w:r>
      <w:proofErr w:type="spellStart"/>
      <w:r w:rsidRPr="005B7EBA">
        <w:rPr>
          <w:sz w:val="24"/>
        </w:rPr>
        <w:t>Spikevax</w:t>
      </w:r>
      <w:proofErr w:type="spellEnd"/>
      <w:r w:rsidRPr="005B7EBA">
        <w:rPr>
          <w:sz w:val="24"/>
        </w:rPr>
        <w:t xml:space="preserve">) in den Zulassungsstudien mehr als 70.000 Probanden verabreicht. </w:t>
      </w:r>
    </w:p>
    <w:p w:rsidR="00D718C0" w:rsidRPr="00D718C0" w:rsidRDefault="00D718C0" w:rsidP="00D718C0">
      <w:pPr>
        <w:numPr>
          <w:ilvl w:val="1"/>
          <w:numId w:val="1"/>
        </w:numPr>
        <w:rPr>
          <w:sz w:val="24"/>
          <w:szCs w:val="24"/>
        </w:rPr>
      </w:pPr>
      <w:r w:rsidRPr="005B7EBA">
        <w:rPr>
          <w:sz w:val="24"/>
        </w:rPr>
        <w:t>Im ersten Jahr nach Markteinführung wurden innerhalb der EU/EWR e</w:t>
      </w:r>
      <w:r w:rsidRPr="00D718C0">
        <w:rPr>
          <w:bCs/>
          <w:sz w:val="24"/>
          <w:szCs w:val="24"/>
        </w:rPr>
        <w:t xml:space="preserve">twa 545 Mio. Dosen von </w:t>
      </w:r>
      <w:proofErr w:type="spellStart"/>
      <w:r w:rsidRPr="00D718C0">
        <w:rPr>
          <w:bCs/>
          <w:sz w:val="24"/>
          <w:szCs w:val="24"/>
        </w:rPr>
        <w:t>Comirnaty</w:t>
      </w:r>
      <w:proofErr w:type="spellEnd"/>
      <w:r w:rsidRPr="00D718C0">
        <w:rPr>
          <w:bCs/>
          <w:sz w:val="24"/>
          <w:szCs w:val="24"/>
        </w:rPr>
        <w:t xml:space="preserve"> und </w:t>
      </w:r>
      <w:r w:rsidRPr="005B7EBA">
        <w:rPr>
          <w:sz w:val="24"/>
        </w:rPr>
        <w:t xml:space="preserve">103 Mio. Dosen von </w:t>
      </w:r>
      <w:proofErr w:type="spellStart"/>
      <w:r w:rsidRPr="005B7EBA">
        <w:rPr>
          <w:sz w:val="24"/>
        </w:rPr>
        <w:t>Spikevax</w:t>
      </w:r>
      <w:proofErr w:type="spellEnd"/>
      <w:r w:rsidRPr="005B7EBA">
        <w:rPr>
          <w:sz w:val="24"/>
        </w:rPr>
        <w:t xml:space="preserve"> verabreicht – davon rund 100 Mio. </w:t>
      </w:r>
      <w:proofErr w:type="spellStart"/>
      <w:r w:rsidRPr="00D718C0">
        <w:rPr>
          <w:bCs/>
          <w:sz w:val="24"/>
          <w:szCs w:val="24"/>
          <w:lang w:val="en-US"/>
        </w:rPr>
        <w:t>Dosen</w:t>
      </w:r>
      <w:proofErr w:type="spellEnd"/>
      <w:r w:rsidRPr="00D718C0">
        <w:rPr>
          <w:bCs/>
          <w:sz w:val="24"/>
          <w:szCs w:val="24"/>
          <w:lang w:val="en-US"/>
        </w:rPr>
        <w:t xml:space="preserve"> mRNA-</w:t>
      </w:r>
      <w:proofErr w:type="spellStart"/>
      <w:r w:rsidRPr="00D718C0">
        <w:rPr>
          <w:bCs/>
          <w:sz w:val="24"/>
          <w:szCs w:val="24"/>
          <w:lang w:val="en-US"/>
        </w:rPr>
        <w:t>Impfstoff</w:t>
      </w:r>
      <w:proofErr w:type="spellEnd"/>
      <w:r w:rsidRPr="00D718C0">
        <w:rPr>
          <w:bCs/>
          <w:sz w:val="24"/>
          <w:szCs w:val="24"/>
          <w:lang w:val="en-US"/>
        </w:rPr>
        <w:t xml:space="preserve"> in Deutschland.</w:t>
      </w:r>
    </w:p>
    <w:p w:rsidR="00D718C0" w:rsidRPr="00D718C0" w:rsidRDefault="00D718C0" w:rsidP="00D718C0">
      <w:pPr>
        <w:numPr>
          <w:ilvl w:val="0"/>
          <w:numId w:val="1"/>
        </w:numPr>
        <w:rPr>
          <w:sz w:val="24"/>
          <w:szCs w:val="24"/>
        </w:rPr>
      </w:pPr>
      <w:r w:rsidRPr="005B7EBA">
        <w:rPr>
          <w:sz w:val="24"/>
        </w:rPr>
        <w:t xml:space="preserve">Die von der Europäischen Arzneimittelagentur EMA geforderten Nachweise zur Sicherstellung der Produktqualität liegen nicht vollständig vor – weder von BioNTech/Pfizer (fällig im Juli 2021) noch von Moderna (fällig im Juli/Nov. 2021). </w:t>
      </w:r>
    </w:p>
    <w:p w:rsidR="00D718C0" w:rsidRPr="00D718C0" w:rsidRDefault="00D718C0" w:rsidP="00D718C0">
      <w:pPr>
        <w:numPr>
          <w:ilvl w:val="0"/>
          <w:numId w:val="1"/>
        </w:numPr>
        <w:rPr>
          <w:sz w:val="24"/>
          <w:szCs w:val="24"/>
        </w:rPr>
      </w:pPr>
      <w:r w:rsidRPr="00D718C0">
        <w:rPr>
          <w:sz w:val="24"/>
          <w:szCs w:val="24"/>
        </w:rPr>
        <w:t xml:space="preserve">Es gibt riesige Verträglichkeitsunterschiede zwischen den einzelnen Chargen der </w:t>
      </w:r>
      <w:proofErr w:type="spellStart"/>
      <w:r w:rsidRPr="00D718C0">
        <w:rPr>
          <w:sz w:val="24"/>
          <w:szCs w:val="24"/>
        </w:rPr>
        <w:t>mRNA</w:t>
      </w:r>
      <w:proofErr w:type="spellEnd"/>
      <w:r w:rsidRPr="00D718C0">
        <w:rPr>
          <w:sz w:val="24"/>
          <w:szCs w:val="24"/>
        </w:rPr>
        <w:t xml:space="preserve">-Impfstoffe: </w:t>
      </w:r>
      <w:r w:rsidR="006A2D11" w:rsidRPr="006A2D11">
        <w:rPr>
          <w:sz w:val="24"/>
          <w:szCs w:val="24"/>
        </w:rPr>
        <w:t>Bis zum 07.01.2022 wurden der US-Impfdatenbank VAERS 10.737 der insgesamt 13.431 Todesfälle bei nur 290 von insgesamt rund 20.000 Chargen gemeldet</w:t>
      </w:r>
      <w:r w:rsidRPr="00D718C0">
        <w:rPr>
          <w:sz w:val="24"/>
          <w:szCs w:val="24"/>
        </w:rPr>
        <w:t>.</w:t>
      </w:r>
    </w:p>
    <w:p w:rsidR="00D718C0" w:rsidRPr="00D718C0" w:rsidRDefault="00D718C0" w:rsidP="00D718C0">
      <w:pPr>
        <w:rPr>
          <w:sz w:val="24"/>
          <w:szCs w:val="24"/>
        </w:rPr>
      </w:pPr>
      <w:r w:rsidRPr="00D718C0">
        <w:rPr>
          <w:b/>
          <w:bCs/>
          <w:sz w:val="24"/>
          <w:szCs w:val="24"/>
        </w:rPr>
        <w:t>Interpretation</w:t>
      </w:r>
    </w:p>
    <w:p w:rsidR="00D718C0" w:rsidRPr="005B7EBA" w:rsidRDefault="00D718C0" w:rsidP="00D718C0">
      <w:pPr>
        <w:numPr>
          <w:ilvl w:val="0"/>
          <w:numId w:val="2"/>
        </w:numPr>
        <w:rPr>
          <w:sz w:val="24"/>
        </w:rPr>
      </w:pPr>
      <w:r w:rsidRPr="005B7EBA">
        <w:rPr>
          <w:sz w:val="24"/>
        </w:rPr>
        <w:t xml:space="preserve">Von anderen Produkten grenzen sich RUOs vor allem dadurch ab, das sie keinem medizinischen Zweck dienen dürfen. Fehlende Kontrollen können sich nachteilig auf die Qualität und somit auf die Wirksamkeit und Verträglichkeit auswirken. </w:t>
      </w:r>
    </w:p>
    <w:p w:rsidR="00D718C0" w:rsidRPr="00D718C0" w:rsidRDefault="00D718C0" w:rsidP="00D718C0">
      <w:pPr>
        <w:numPr>
          <w:ilvl w:val="0"/>
          <w:numId w:val="2"/>
        </w:numPr>
        <w:rPr>
          <w:sz w:val="24"/>
          <w:szCs w:val="24"/>
        </w:rPr>
      </w:pPr>
      <w:r w:rsidRPr="005B7EBA">
        <w:rPr>
          <w:sz w:val="24"/>
        </w:rPr>
        <w:lastRenderedPageBreak/>
        <w:t xml:space="preserve">Mehr als ein Jahr nach der Zulassung unter „Besonderen Bedingungen“ haben die Hersteller BioNTech/Pfizer und Moderna </w:t>
      </w:r>
      <w:r w:rsidRPr="00D718C0">
        <w:rPr>
          <w:sz w:val="24"/>
          <w:szCs w:val="24"/>
        </w:rPr>
        <w:t xml:space="preserve">immer noch nicht alle </w:t>
      </w:r>
      <w:r w:rsidRPr="005B7EBA">
        <w:rPr>
          <w:sz w:val="24"/>
        </w:rPr>
        <w:t xml:space="preserve">Auflagen der Europäischen Arzneimittelagentur EMA </w:t>
      </w:r>
      <w:r w:rsidRPr="00D718C0">
        <w:rPr>
          <w:sz w:val="24"/>
          <w:szCs w:val="24"/>
        </w:rPr>
        <w:t xml:space="preserve">zur Sicherstellung der Produktqualität erfüllt. </w:t>
      </w:r>
    </w:p>
    <w:p w:rsidR="00D718C0" w:rsidRPr="00D718C0" w:rsidRDefault="00D718C0" w:rsidP="00D718C0">
      <w:pPr>
        <w:numPr>
          <w:ilvl w:val="1"/>
          <w:numId w:val="2"/>
        </w:numPr>
        <w:rPr>
          <w:sz w:val="24"/>
          <w:szCs w:val="24"/>
        </w:rPr>
      </w:pPr>
      <w:r w:rsidRPr="00D718C0">
        <w:rPr>
          <w:bCs/>
          <w:sz w:val="24"/>
          <w:szCs w:val="24"/>
        </w:rPr>
        <w:t>Das betrifft nicht nur die RUOs, sondern auch andere Inhaltsstoffe der mRNA-Impfstoffe!</w:t>
      </w:r>
    </w:p>
    <w:p w:rsidR="00D718C0" w:rsidRPr="00D718C0" w:rsidRDefault="00D718C0" w:rsidP="00D718C0">
      <w:pPr>
        <w:numPr>
          <w:ilvl w:val="0"/>
          <w:numId w:val="2"/>
        </w:numPr>
        <w:rPr>
          <w:sz w:val="24"/>
          <w:szCs w:val="24"/>
        </w:rPr>
      </w:pPr>
      <w:r w:rsidRPr="005B7EBA">
        <w:rPr>
          <w:sz w:val="24"/>
        </w:rPr>
        <w:t xml:space="preserve">Die Impfstoffchargen zeigen eine hohe Variabilität gemeldeter unerwünschter Ereignisse und Todesfälle, was auf sicherheitsrelevante Produktmängel hindeutet. </w:t>
      </w:r>
    </w:p>
    <w:p w:rsidR="00D718C0" w:rsidRPr="00D718C0" w:rsidRDefault="00D718C0" w:rsidP="00D718C0">
      <w:pPr>
        <w:numPr>
          <w:ilvl w:val="0"/>
          <w:numId w:val="2"/>
        </w:numPr>
        <w:rPr>
          <w:sz w:val="24"/>
          <w:szCs w:val="24"/>
        </w:rPr>
      </w:pPr>
      <w:r w:rsidRPr="00D718C0">
        <w:rPr>
          <w:sz w:val="24"/>
          <w:szCs w:val="24"/>
        </w:rPr>
        <w:t>Die klinischen Phase-III-Studien sind noch längst nicht abgeschlossen – eigentlich eine unumstößliche Zulassungsvoraussetzung bei diesen neuartigen Arzneimitteln, die in einem noch nie erfolgten Ausmaß überwiegend gesunden Menschen verabreicht werden.</w:t>
      </w:r>
    </w:p>
    <w:p w:rsidR="00D718C0" w:rsidRPr="00D718C0" w:rsidRDefault="00D718C0" w:rsidP="00D718C0">
      <w:pPr>
        <w:numPr>
          <w:ilvl w:val="0"/>
          <w:numId w:val="2"/>
        </w:numPr>
        <w:rPr>
          <w:sz w:val="24"/>
          <w:szCs w:val="24"/>
        </w:rPr>
      </w:pPr>
      <w:r w:rsidRPr="00D718C0">
        <w:rPr>
          <w:sz w:val="24"/>
          <w:szCs w:val="24"/>
        </w:rPr>
        <w:t>Die weitgehend unkontrollierten, weltweit durchgeführten Massenimpfungen sind nicht mit der Tatsache zu vereinbaren, dass eine sichere Anwendung für die mRNA-Impfstoffe immer noch nicht belegt ist.</w:t>
      </w:r>
    </w:p>
    <w:p w:rsidR="00D718C0" w:rsidRPr="00D718C0" w:rsidRDefault="00D718C0" w:rsidP="00D718C0">
      <w:pPr>
        <w:rPr>
          <w:sz w:val="24"/>
          <w:szCs w:val="24"/>
        </w:rPr>
      </w:pPr>
      <w:r w:rsidRPr="00D718C0">
        <w:rPr>
          <w:b/>
          <w:bCs/>
          <w:sz w:val="24"/>
          <w:szCs w:val="24"/>
        </w:rPr>
        <w:t>Schlussfolgerungen</w:t>
      </w:r>
    </w:p>
    <w:p w:rsidR="00D718C0" w:rsidRPr="00D718C0" w:rsidRDefault="00D718C0" w:rsidP="00D718C0">
      <w:pPr>
        <w:numPr>
          <w:ilvl w:val="0"/>
          <w:numId w:val="3"/>
        </w:numPr>
        <w:rPr>
          <w:sz w:val="24"/>
          <w:szCs w:val="24"/>
        </w:rPr>
      </w:pPr>
      <w:r w:rsidRPr="00D718C0">
        <w:rPr>
          <w:sz w:val="24"/>
          <w:szCs w:val="24"/>
        </w:rPr>
        <w:t>Eine konsistente Produktqualität der COVID-19-Impfstoffe ist nicht belegt – hier explizit nachgewiesen für die vorwiegend eingesetzten mRNA-Impfstoffe.</w:t>
      </w:r>
    </w:p>
    <w:p w:rsidR="00D718C0" w:rsidRPr="00D718C0" w:rsidRDefault="00D718C0" w:rsidP="00D718C0">
      <w:pPr>
        <w:numPr>
          <w:ilvl w:val="1"/>
          <w:numId w:val="3"/>
        </w:numPr>
        <w:rPr>
          <w:sz w:val="24"/>
          <w:szCs w:val="24"/>
        </w:rPr>
      </w:pPr>
      <w:r w:rsidRPr="00D718C0">
        <w:rPr>
          <w:sz w:val="24"/>
          <w:szCs w:val="24"/>
        </w:rPr>
        <w:t xml:space="preserve">Die Anwendung dieser Impfstoffe ist wie Russisch Roulette: Die meisten Chargen sind „harmlos“ – einige wenige sind womöglich tödlich! </w:t>
      </w:r>
    </w:p>
    <w:p w:rsidR="00D718C0" w:rsidRPr="00D718C0" w:rsidRDefault="00D718C0" w:rsidP="00D718C0">
      <w:pPr>
        <w:numPr>
          <w:ilvl w:val="0"/>
          <w:numId w:val="3"/>
        </w:numPr>
        <w:rPr>
          <w:sz w:val="24"/>
          <w:szCs w:val="24"/>
        </w:rPr>
      </w:pPr>
      <w:r w:rsidRPr="00D718C0">
        <w:rPr>
          <w:sz w:val="24"/>
          <w:szCs w:val="24"/>
        </w:rPr>
        <w:t xml:space="preserve">Die experimentellen Impfstoffe hätten von Anfang an – das betrifft auch die klinischen Studien – nicht am Menschen angewendet werden dürfen, da gründliche toxikologische Voruntersuchungen nicht stattfanden. </w:t>
      </w:r>
    </w:p>
    <w:p w:rsidR="00D718C0" w:rsidRPr="00D718C0" w:rsidRDefault="00D718C0" w:rsidP="00D718C0">
      <w:pPr>
        <w:numPr>
          <w:ilvl w:val="0"/>
          <w:numId w:val="3"/>
        </w:numPr>
        <w:rPr>
          <w:sz w:val="24"/>
          <w:szCs w:val="24"/>
        </w:rPr>
      </w:pPr>
      <w:r w:rsidRPr="00D718C0">
        <w:rPr>
          <w:sz w:val="24"/>
          <w:szCs w:val="24"/>
        </w:rPr>
        <w:t>Die beschleunigten Zulassungsverfahren (</w:t>
      </w:r>
      <w:r w:rsidRPr="005B7EBA">
        <w:rPr>
          <w:sz w:val="24"/>
        </w:rPr>
        <w:t xml:space="preserve">Rolling-Review-Verfahren) </w:t>
      </w:r>
      <w:r w:rsidRPr="00D718C0">
        <w:rPr>
          <w:sz w:val="24"/>
          <w:szCs w:val="24"/>
        </w:rPr>
        <w:t>für die neuartigen Impfstoffe waren fahrlässig und hätten nicht durchgeführt werden dürfen.</w:t>
      </w:r>
    </w:p>
    <w:p w:rsidR="00D718C0" w:rsidRPr="00D718C0" w:rsidRDefault="00D718C0" w:rsidP="00D718C0">
      <w:pPr>
        <w:numPr>
          <w:ilvl w:val="0"/>
          <w:numId w:val="3"/>
        </w:numPr>
        <w:rPr>
          <w:sz w:val="24"/>
          <w:szCs w:val="24"/>
        </w:rPr>
      </w:pPr>
      <w:r w:rsidRPr="00D718C0">
        <w:rPr>
          <w:sz w:val="24"/>
          <w:szCs w:val="24"/>
        </w:rPr>
        <w:t xml:space="preserve">Die Zulassung der Impfstoffe fand überstürzt statt und hätte weder verlängert noch erweitert werden dürfen. </w:t>
      </w:r>
    </w:p>
    <w:p w:rsidR="00D718C0" w:rsidRPr="00D718C0" w:rsidRDefault="00D718C0" w:rsidP="00D718C0">
      <w:pPr>
        <w:numPr>
          <w:ilvl w:val="0"/>
          <w:numId w:val="3"/>
        </w:numPr>
        <w:rPr>
          <w:sz w:val="24"/>
          <w:szCs w:val="24"/>
        </w:rPr>
      </w:pPr>
      <w:r w:rsidRPr="00D718C0">
        <w:rPr>
          <w:sz w:val="24"/>
          <w:szCs w:val="24"/>
        </w:rPr>
        <w:t>Die bedingten Zulassungen (Zulassung unter „Besonderen Bedingungen“) sind zu widerrufen (§ 30 AMG)</w:t>
      </w:r>
      <w:r w:rsidRPr="005B7EBA">
        <w:rPr>
          <w:sz w:val="24"/>
        </w:rPr>
        <w:t xml:space="preserve"> – </w:t>
      </w:r>
      <w:r w:rsidRPr="00D718C0">
        <w:rPr>
          <w:sz w:val="24"/>
          <w:szCs w:val="24"/>
        </w:rPr>
        <w:t>die mRNA-Impfstoffe müssen umgehend vom Markt genommen werden.</w:t>
      </w:r>
    </w:p>
    <w:p w:rsidR="00D718C0" w:rsidRPr="00D718C0" w:rsidRDefault="00D718C0" w:rsidP="00D718C0">
      <w:pPr>
        <w:numPr>
          <w:ilvl w:val="0"/>
          <w:numId w:val="3"/>
        </w:numPr>
        <w:rPr>
          <w:sz w:val="24"/>
          <w:szCs w:val="24"/>
        </w:rPr>
      </w:pPr>
      <w:r w:rsidRPr="005B7EBA">
        <w:rPr>
          <w:sz w:val="24"/>
        </w:rPr>
        <w:t>Zusätzlich stellt sich die Frage, ob RUOs auch in anderen Arzneimitteln zum Einsatz kommen.</w:t>
      </w:r>
      <w:r w:rsidRPr="00D718C0">
        <w:rPr>
          <w:sz w:val="24"/>
          <w:szCs w:val="24"/>
        </w:rPr>
        <w:t xml:space="preserve"> </w:t>
      </w:r>
    </w:p>
    <w:p w:rsidR="00D718C0" w:rsidRPr="00D718C0" w:rsidRDefault="00D718C0" w:rsidP="00D718C0">
      <w:pPr>
        <w:rPr>
          <w:sz w:val="24"/>
          <w:szCs w:val="24"/>
        </w:rPr>
      </w:pPr>
    </w:p>
    <w:p w:rsidR="006A2D11" w:rsidRPr="00D718C0" w:rsidRDefault="006A2D11" w:rsidP="006A2D11">
      <w:pPr>
        <w:rPr>
          <w:sz w:val="24"/>
          <w:szCs w:val="24"/>
        </w:rPr>
      </w:pPr>
      <w:r w:rsidRPr="00D718C0">
        <w:rPr>
          <w:b/>
          <w:sz w:val="24"/>
          <w:szCs w:val="24"/>
        </w:rPr>
        <w:lastRenderedPageBreak/>
        <w:t>Zusammenfassung</w:t>
      </w:r>
    </w:p>
    <w:p w:rsidR="00D718C0" w:rsidRPr="00D718C0" w:rsidRDefault="00D718C0" w:rsidP="00D718C0">
      <w:pPr>
        <w:rPr>
          <w:sz w:val="24"/>
          <w:szCs w:val="24"/>
        </w:rPr>
      </w:pPr>
      <w:r w:rsidRPr="00D718C0">
        <w:rPr>
          <w:bCs/>
          <w:sz w:val="24"/>
          <w:szCs w:val="24"/>
          <w:u w:val="single"/>
        </w:rPr>
        <w:t>Teil 2:</w:t>
      </w:r>
      <w:r w:rsidRPr="00D718C0">
        <w:rPr>
          <w:bCs/>
          <w:sz w:val="24"/>
          <w:szCs w:val="24"/>
        </w:rPr>
        <w:t xml:space="preserve"> </w:t>
      </w:r>
      <w:r w:rsidRPr="00D718C0">
        <w:rPr>
          <w:bCs/>
          <w:sz w:val="24"/>
          <w:szCs w:val="24"/>
        </w:rPr>
        <w:tab/>
        <w:t>“</w:t>
      </w:r>
      <w:proofErr w:type="spellStart"/>
      <w:r w:rsidRPr="00D718C0">
        <w:rPr>
          <w:b/>
          <w:bCs/>
          <w:sz w:val="24"/>
          <w:szCs w:val="24"/>
        </w:rPr>
        <w:t>Coronazahlen</w:t>
      </w:r>
      <w:proofErr w:type="spellEnd"/>
      <w:r w:rsidRPr="00D718C0">
        <w:rPr>
          <w:b/>
          <w:bCs/>
          <w:sz w:val="24"/>
          <w:szCs w:val="24"/>
        </w:rPr>
        <w:t xml:space="preserve"> zur Übersterblichkeit </w:t>
      </w:r>
      <w:r w:rsidRPr="00D718C0">
        <w:rPr>
          <w:b/>
          <w:bCs/>
          <w:sz w:val="24"/>
          <w:szCs w:val="24"/>
        </w:rPr>
        <w:br/>
      </w:r>
      <w:r w:rsidRPr="00D718C0">
        <w:rPr>
          <w:sz w:val="24"/>
          <w:szCs w:val="24"/>
        </w:rPr>
        <w:t>Nonsens-Korrelationen – Manipulationen – offene Fragen“</w:t>
      </w:r>
    </w:p>
    <w:p w:rsidR="00D718C0" w:rsidRPr="00D718C0" w:rsidRDefault="00D718C0" w:rsidP="00D718C0">
      <w:pPr>
        <w:rPr>
          <w:b/>
          <w:bCs/>
          <w:sz w:val="24"/>
          <w:szCs w:val="24"/>
        </w:rPr>
      </w:pPr>
      <w:r w:rsidRPr="00D718C0">
        <w:rPr>
          <w:b/>
          <w:bCs/>
          <w:sz w:val="24"/>
          <w:szCs w:val="24"/>
        </w:rPr>
        <w:t>Fakten</w:t>
      </w:r>
    </w:p>
    <w:p w:rsidR="00D718C0" w:rsidRPr="00D718C0" w:rsidRDefault="00D718C0" w:rsidP="00D718C0">
      <w:pPr>
        <w:rPr>
          <w:sz w:val="24"/>
          <w:szCs w:val="24"/>
        </w:rPr>
      </w:pPr>
      <w:r w:rsidRPr="00D718C0">
        <w:rPr>
          <w:sz w:val="24"/>
          <w:szCs w:val="24"/>
        </w:rPr>
        <w:t xml:space="preserve">Die publizierten Zahlen zur </w:t>
      </w:r>
      <w:proofErr w:type="spellStart"/>
      <w:r w:rsidRPr="00D718C0">
        <w:rPr>
          <w:sz w:val="24"/>
          <w:szCs w:val="24"/>
        </w:rPr>
        <w:t>Coronamortalität</w:t>
      </w:r>
      <w:proofErr w:type="spellEnd"/>
      <w:r w:rsidRPr="00D718C0">
        <w:rPr>
          <w:sz w:val="24"/>
          <w:szCs w:val="24"/>
        </w:rPr>
        <w:t xml:space="preserve"> tragen mehr zur Verwirrung als zur Aufklärung des Pandemiegeschehens bei. </w:t>
      </w:r>
    </w:p>
    <w:p w:rsidR="00D718C0" w:rsidRPr="00D718C0" w:rsidRDefault="00D718C0" w:rsidP="00D718C0">
      <w:pPr>
        <w:numPr>
          <w:ilvl w:val="0"/>
          <w:numId w:val="5"/>
        </w:numPr>
        <w:rPr>
          <w:sz w:val="24"/>
          <w:szCs w:val="24"/>
        </w:rPr>
      </w:pPr>
      <w:r w:rsidRPr="00D718C0">
        <w:rPr>
          <w:sz w:val="24"/>
          <w:szCs w:val="24"/>
        </w:rPr>
        <w:t xml:space="preserve">Die </w:t>
      </w:r>
      <w:r w:rsidRPr="00D718C0">
        <w:rPr>
          <w:bCs/>
          <w:sz w:val="24"/>
          <w:szCs w:val="24"/>
        </w:rPr>
        <w:t xml:space="preserve">Auswertungen des Statistischen Bundesamtes </w:t>
      </w:r>
      <w:r w:rsidRPr="00D718C0">
        <w:rPr>
          <w:sz w:val="24"/>
          <w:szCs w:val="24"/>
        </w:rPr>
        <w:t>zeigen einen Zusammenhang zwischen Übersterblichkeit und COVID-19-Todesfällen, der jedoch wegen ungeeigneter Erfassungskriterien und fehlender kausaler Zusammenhänge gar nicht belegt ist.</w:t>
      </w:r>
    </w:p>
    <w:p w:rsidR="00D718C0" w:rsidRPr="00D718C0" w:rsidRDefault="00D718C0" w:rsidP="00D718C0">
      <w:pPr>
        <w:numPr>
          <w:ilvl w:val="0"/>
          <w:numId w:val="5"/>
        </w:numPr>
        <w:rPr>
          <w:sz w:val="24"/>
          <w:szCs w:val="24"/>
        </w:rPr>
      </w:pPr>
      <w:r w:rsidRPr="00D718C0">
        <w:rPr>
          <w:sz w:val="24"/>
          <w:szCs w:val="24"/>
        </w:rPr>
        <w:t xml:space="preserve">Anhand der </w:t>
      </w:r>
      <w:r w:rsidRPr="00D718C0">
        <w:rPr>
          <w:bCs/>
          <w:sz w:val="24"/>
          <w:szCs w:val="24"/>
        </w:rPr>
        <w:t xml:space="preserve">Daten des UK-Office </w:t>
      </w:r>
      <w:proofErr w:type="spellStart"/>
      <w:r w:rsidRPr="00D718C0">
        <w:rPr>
          <w:bCs/>
          <w:sz w:val="24"/>
          <w:szCs w:val="24"/>
        </w:rPr>
        <w:t>for</w:t>
      </w:r>
      <w:proofErr w:type="spellEnd"/>
      <w:r w:rsidRPr="00D718C0">
        <w:rPr>
          <w:bCs/>
          <w:sz w:val="24"/>
          <w:szCs w:val="24"/>
        </w:rPr>
        <w:t xml:space="preserve"> National </w:t>
      </w:r>
      <w:proofErr w:type="spellStart"/>
      <w:r w:rsidRPr="00D718C0">
        <w:rPr>
          <w:bCs/>
          <w:sz w:val="24"/>
          <w:szCs w:val="24"/>
        </w:rPr>
        <w:t>Statistics</w:t>
      </w:r>
      <w:proofErr w:type="spellEnd"/>
      <w:r w:rsidRPr="00D718C0">
        <w:rPr>
          <w:bCs/>
          <w:sz w:val="24"/>
          <w:szCs w:val="24"/>
        </w:rPr>
        <w:t xml:space="preserve"> (ONS) zu den Sterberaten in England nach Impfstatus </w:t>
      </w:r>
      <w:r w:rsidRPr="00D718C0">
        <w:rPr>
          <w:sz w:val="24"/>
          <w:szCs w:val="24"/>
        </w:rPr>
        <w:t>im Gesamtjahr 2021</w:t>
      </w:r>
      <w:r w:rsidRPr="00D718C0">
        <w:rPr>
          <w:bCs/>
          <w:sz w:val="24"/>
          <w:szCs w:val="24"/>
        </w:rPr>
        <w:t xml:space="preserve"> </w:t>
      </w:r>
      <w:r w:rsidRPr="00D718C0">
        <w:rPr>
          <w:sz w:val="24"/>
          <w:szCs w:val="24"/>
        </w:rPr>
        <w:t xml:space="preserve">werden unzulässige Vorgehensweisen aufgezeigt und die Zahlen aller Todesfälle nach Impfstatus betrachtet. </w:t>
      </w:r>
    </w:p>
    <w:p w:rsidR="00D718C0" w:rsidRPr="00D718C0" w:rsidRDefault="00D718C0" w:rsidP="00D718C0">
      <w:pPr>
        <w:numPr>
          <w:ilvl w:val="1"/>
          <w:numId w:val="5"/>
        </w:numPr>
        <w:rPr>
          <w:sz w:val="24"/>
          <w:szCs w:val="24"/>
        </w:rPr>
      </w:pPr>
      <w:r w:rsidRPr="00D718C0">
        <w:rPr>
          <w:bCs/>
          <w:sz w:val="24"/>
          <w:szCs w:val="24"/>
        </w:rPr>
        <w:t>In allen Altersgruppen sind die Gesamtsterberaten bei nicht regelmäßig geimpften Personen deutlich höher als bei regelmäßig Geimpften; sie übersteigen zeitweise die Sterberaten der Ungeimpften um ein Mehrfaches.</w:t>
      </w:r>
    </w:p>
    <w:p w:rsidR="00D718C0" w:rsidRPr="00D718C0" w:rsidRDefault="00D718C0" w:rsidP="00D718C0">
      <w:pPr>
        <w:numPr>
          <w:ilvl w:val="1"/>
          <w:numId w:val="5"/>
        </w:numPr>
        <w:rPr>
          <w:sz w:val="24"/>
          <w:szCs w:val="24"/>
        </w:rPr>
      </w:pPr>
      <w:r w:rsidRPr="00D718C0">
        <w:rPr>
          <w:bCs/>
          <w:sz w:val="24"/>
          <w:szCs w:val="24"/>
        </w:rPr>
        <w:t xml:space="preserve">Bei </w:t>
      </w:r>
      <w:r w:rsidRPr="005B7EBA">
        <w:rPr>
          <w:sz w:val="24"/>
        </w:rPr>
        <w:t xml:space="preserve">den 2x Geimpften zeigt sich diese Entwicklung erst im 4. </w:t>
      </w:r>
      <w:r w:rsidRPr="00D718C0">
        <w:rPr>
          <w:bCs/>
          <w:sz w:val="24"/>
          <w:szCs w:val="24"/>
          <w:lang w:val="en-US"/>
        </w:rPr>
        <w:t>Quartal 2021.</w:t>
      </w:r>
    </w:p>
    <w:p w:rsidR="00D718C0" w:rsidRPr="00D718C0" w:rsidRDefault="00D718C0" w:rsidP="00D718C0">
      <w:pPr>
        <w:numPr>
          <w:ilvl w:val="0"/>
          <w:numId w:val="5"/>
        </w:numPr>
        <w:rPr>
          <w:sz w:val="24"/>
          <w:szCs w:val="24"/>
        </w:rPr>
      </w:pPr>
      <w:r w:rsidRPr="00D718C0">
        <w:rPr>
          <w:sz w:val="24"/>
          <w:szCs w:val="24"/>
        </w:rPr>
        <w:t xml:space="preserve">Die wöchentlichen </w:t>
      </w:r>
      <w:r w:rsidRPr="00D718C0">
        <w:rPr>
          <w:bCs/>
          <w:sz w:val="24"/>
          <w:szCs w:val="24"/>
        </w:rPr>
        <w:t xml:space="preserve">Notaufnahmeberichte des Robert-Koch-Instituts (RKI) </w:t>
      </w:r>
      <w:r w:rsidRPr="00D718C0">
        <w:rPr>
          <w:sz w:val="24"/>
          <w:szCs w:val="24"/>
        </w:rPr>
        <w:t xml:space="preserve">werden unter die Lupe genommen und Verschleierungstaktiken offengelegt.  </w:t>
      </w:r>
    </w:p>
    <w:p w:rsidR="00D718C0" w:rsidRPr="00D718C0" w:rsidRDefault="00D718C0" w:rsidP="00D718C0">
      <w:pPr>
        <w:numPr>
          <w:ilvl w:val="1"/>
          <w:numId w:val="5"/>
        </w:numPr>
        <w:rPr>
          <w:sz w:val="24"/>
          <w:szCs w:val="24"/>
        </w:rPr>
      </w:pPr>
      <w:r w:rsidRPr="00D718C0">
        <w:rPr>
          <w:bCs/>
          <w:sz w:val="24"/>
          <w:szCs w:val="24"/>
        </w:rPr>
        <w:t xml:space="preserve">Es liegen Hinweise vor, dass kardiovaskuläre und neurologische Nebenwirkungen der COVID-19-Impfstoffe zu mehr Notaufnahmen im Jahr 2021 geführt haben. Aufgrund der sehr kleinen Stichprobe sind die vorliegenden Zahlen allerdings nicht aussagekräftig. </w:t>
      </w:r>
    </w:p>
    <w:p w:rsidR="00D718C0" w:rsidRPr="00D718C0" w:rsidRDefault="00D718C0" w:rsidP="00D718C0">
      <w:pPr>
        <w:rPr>
          <w:b/>
          <w:bCs/>
          <w:sz w:val="24"/>
          <w:szCs w:val="24"/>
        </w:rPr>
      </w:pPr>
      <w:r w:rsidRPr="00D718C0">
        <w:rPr>
          <w:b/>
          <w:bCs/>
          <w:sz w:val="24"/>
          <w:szCs w:val="24"/>
        </w:rPr>
        <w:t xml:space="preserve">Interpretation </w:t>
      </w:r>
    </w:p>
    <w:p w:rsidR="00D718C0" w:rsidRPr="00D718C0" w:rsidRDefault="00D718C0" w:rsidP="00D718C0">
      <w:pPr>
        <w:rPr>
          <w:sz w:val="24"/>
          <w:szCs w:val="24"/>
        </w:rPr>
      </w:pPr>
      <w:r w:rsidRPr="00D718C0">
        <w:rPr>
          <w:bCs/>
          <w:sz w:val="24"/>
          <w:szCs w:val="24"/>
        </w:rPr>
        <w:t xml:space="preserve">Die Zahlen zur </w:t>
      </w:r>
      <w:proofErr w:type="spellStart"/>
      <w:r w:rsidRPr="00D718C0">
        <w:rPr>
          <w:bCs/>
          <w:sz w:val="24"/>
          <w:szCs w:val="24"/>
        </w:rPr>
        <w:t>Coronamortalität</w:t>
      </w:r>
      <w:proofErr w:type="spellEnd"/>
      <w:r w:rsidRPr="00D718C0">
        <w:rPr>
          <w:bCs/>
          <w:sz w:val="24"/>
          <w:szCs w:val="24"/>
        </w:rPr>
        <w:t xml:space="preserve"> geben nicht die Realität des Pandemiegeschehens wieder.</w:t>
      </w:r>
      <w:r w:rsidRPr="005B7EBA">
        <w:rPr>
          <w:sz w:val="24"/>
        </w:rPr>
        <w:t xml:space="preserve"> </w:t>
      </w:r>
    </w:p>
    <w:p w:rsidR="00D718C0" w:rsidRPr="00D718C0" w:rsidRDefault="00D718C0" w:rsidP="00D718C0">
      <w:pPr>
        <w:numPr>
          <w:ilvl w:val="0"/>
          <w:numId w:val="4"/>
        </w:numPr>
        <w:rPr>
          <w:sz w:val="24"/>
          <w:szCs w:val="24"/>
        </w:rPr>
      </w:pPr>
      <w:r w:rsidRPr="005B7EBA">
        <w:rPr>
          <w:sz w:val="24"/>
        </w:rPr>
        <w:t xml:space="preserve">Nicht aussagekräftige Daten werden “passend” aufbereitet: Mit ungeeigneten Daten werden Zusammenhänge hergestellt, die nicht kausal sind (Nonsens-Korrelationen). </w:t>
      </w:r>
    </w:p>
    <w:p w:rsidR="00D718C0" w:rsidRPr="00D718C0" w:rsidRDefault="00D718C0" w:rsidP="00D718C0">
      <w:pPr>
        <w:numPr>
          <w:ilvl w:val="1"/>
          <w:numId w:val="4"/>
        </w:numPr>
        <w:rPr>
          <w:sz w:val="24"/>
          <w:szCs w:val="24"/>
        </w:rPr>
      </w:pPr>
      <w:r w:rsidRPr="005B7EBA">
        <w:rPr>
          <w:sz w:val="24"/>
        </w:rPr>
        <w:t xml:space="preserve">Beispiel Statistisches Bundesamt/RKI: COVID-19 </w:t>
      </w:r>
      <w:r w:rsidRPr="00D718C0">
        <w:rPr>
          <w:sz w:val="24"/>
          <w:szCs w:val="24"/>
          <w:lang w:val="en-US"/>
        </w:rPr>
        <w:sym w:font="Symbol" w:char="F0AE"/>
      </w:r>
      <w:r w:rsidRPr="005B7EBA">
        <w:rPr>
          <w:sz w:val="24"/>
        </w:rPr>
        <w:t xml:space="preserve"> Übersterblichkeit </w:t>
      </w:r>
    </w:p>
    <w:p w:rsidR="00D718C0" w:rsidRPr="00D718C0" w:rsidRDefault="00D718C0" w:rsidP="00D718C0">
      <w:pPr>
        <w:numPr>
          <w:ilvl w:val="1"/>
          <w:numId w:val="4"/>
        </w:numPr>
        <w:rPr>
          <w:sz w:val="24"/>
          <w:szCs w:val="24"/>
        </w:rPr>
      </w:pPr>
      <w:r w:rsidRPr="00D718C0">
        <w:rPr>
          <w:bCs/>
          <w:sz w:val="24"/>
          <w:szCs w:val="24"/>
        </w:rPr>
        <w:t xml:space="preserve">Beispiel ONS: Impfstatus </w:t>
      </w:r>
      <w:r w:rsidRPr="00D718C0">
        <w:rPr>
          <w:bCs/>
          <w:sz w:val="24"/>
          <w:szCs w:val="24"/>
        </w:rPr>
        <w:sym w:font="Symbol" w:char="F0AE"/>
      </w:r>
      <w:r w:rsidRPr="00D718C0">
        <w:rPr>
          <w:bCs/>
          <w:sz w:val="24"/>
          <w:szCs w:val="24"/>
        </w:rPr>
        <w:t xml:space="preserve"> Sterberaten in England</w:t>
      </w:r>
    </w:p>
    <w:p w:rsidR="00D718C0" w:rsidRPr="00D718C0" w:rsidRDefault="00D718C0" w:rsidP="00D718C0">
      <w:pPr>
        <w:numPr>
          <w:ilvl w:val="0"/>
          <w:numId w:val="4"/>
        </w:numPr>
        <w:rPr>
          <w:sz w:val="24"/>
          <w:szCs w:val="24"/>
        </w:rPr>
      </w:pPr>
      <w:r w:rsidRPr="005B7EBA">
        <w:rPr>
          <w:sz w:val="24"/>
        </w:rPr>
        <w:t>“Widersprüchliche” Daten werden einseitig interpretiert.</w:t>
      </w:r>
    </w:p>
    <w:p w:rsidR="00D718C0" w:rsidRPr="00D718C0" w:rsidRDefault="00D718C0" w:rsidP="00D718C0">
      <w:pPr>
        <w:numPr>
          <w:ilvl w:val="1"/>
          <w:numId w:val="4"/>
        </w:numPr>
        <w:rPr>
          <w:sz w:val="24"/>
          <w:szCs w:val="24"/>
        </w:rPr>
      </w:pPr>
      <w:r w:rsidRPr="005B7EBA">
        <w:rPr>
          <w:sz w:val="24"/>
        </w:rPr>
        <w:lastRenderedPageBreak/>
        <w:t>Die ONS-Daten werden dazu verwendet, positive Auswirkungen der COVID-19-Impfungen auf die Sterberaten zu postulieren – was jedoch höchstens teilweise und auch nur kurzzeitig zutrifft.</w:t>
      </w:r>
    </w:p>
    <w:p w:rsidR="00D718C0" w:rsidRPr="00D718C0" w:rsidRDefault="00D718C0" w:rsidP="00D718C0">
      <w:pPr>
        <w:numPr>
          <w:ilvl w:val="1"/>
          <w:numId w:val="4"/>
        </w:numPr>
        <w:rPr>
          <w:sz w:val="24"/>
          <w:szCs w:val="24"/>
        </w:rPr>
      </w:pPr>
      <w:r w:rsidRPr="005B7EBA">
        <w:rPr>
          <w:sz w:val="24"/>
        </w:rPr>
        <w:t xml:space="preserve">Bei den nicht regelmäßig Geimpften kam es im Vorjahr zu extrem hohen Anstiegen der Sterberaten, die erst Monate nach Impfung auftraten. </w:t>
      </w:r>
    </w:p>
    <w:p w:rsidR="00D718C0" w:rsidRPr="00D718C0" w:rsidRDefault="00D718C0" w:rsidP="00D718C0">
      <w:pPr>
        <w:numPr>
          <w:ilvl w:val="1"/>
          <w:numId w:val="4"/>
        </w:numPr>
        <w:rPr>
          <w:sz w:val="24"/>
          <w:szCs w:val="24"/>
        </w:rPr>
      </w:pPr>
      <w:r w:rsidRPr="005B7EBA">
        <w:rPr>
          <w:sz w:val="24"/>
        </w:rPr>
        <w:t xml:space="preserve">Die Kurvenverläufe deuten auf fatale immunologische Langzeitwirkungen hin, die bisher nicht prospektiv untersucht wurden. </w:t>
      </w:r>
    </w:p>
    <w:p w:rsidR="00D718C0" w:rsidRPr="00D718C0" w:rsidRDefault="00D718C0" w:rsidP="00D718C0">
      <w:pPr>
        <w:numPr>
          <w:ilvl w:val="0"/>
          <w:numId w:val="4"/>
        </w:numPr>
        <w:rPr>
          <w:sz w:val="24"/>
          <w:szCs w:val="24"/>
        </w:rPr>
      </w:pPr>
      <w:r w:rsidRPr="00D718C0">
        <w:rPr>
          <w:sz w:val="24"/>
          <w:szCs w:val="24"/>
          <w:lang w:val="en-US"/>
        </w:rPr>
        <w:t>“</w:t>
      </w:r>
      <w:proofErr w:type="spellStart"/>
      <w:r w:rsidRPr="00D718C0">
        <w:rPr>
          <w:sz w:val="24"/>
          <w:szCs w:val="24"/>
          <w:lang w:val="en-US"/>
        </w:rPr>
        <w:t>Unpassende</w:t>
      </w:r>
      <w:proofErr w:type="spellEnd"/>
      <w:r w:rsidRPr="00D718C0">
        <w:rPr>
          <w:sz w:val="24"/>
          <w:szCs w:val="24"/>
          <w:lang w:val="en-US"/>
        </w:rPr>
        <w:t xml:space="preserve">” </w:t>
      </w:r>
      <w:proofErr w:type="spellStart"/>
      <w:r w:rsidRPr="00D718C0">
        <w:rPr>
          <w:sz w:val="24"/>
          <w:szCs w:val="24"/>
          <w:lang w:val="en-US"/>
        </w:rPr>
        <w:t>Daten</w:t>
      </w:r>
      <w:proofErr w:type="spellEnd"/>
      <w:r w:rsidRPr="00D718C0">
        <w:rPr>
          <w:sz w:val="24"/>
          <w:szCs w:val="24"/>
          <w:lang w:val="en-US"/>
        </w:rPr>
        <w:t xml:space="preserve"> </w:t>
      </w:r>
      <w:proofErr w:type="spellStart"/>
      <w:r w:rsidRPr="00D718C0">
        <w:rPr>
          <w:sz w:val="24"/>
          <w:szCs w:val="24"/>
          <w:lang w:val="en-US"/>
        </w:rPr>
        <w:t>werden</w:t>
      </w:r>
      <w:proofErr w:type="spellEnd"/>
      <w:r w:rsidRPr="00D718C0">
        <w:rPr>
          <w:sz w:val="24"/>
          <w:szCs w:val="24"/>
          <w:lang w:val="en-US"/>
        </w:rPr>
        <w:t xml:space="preserve"> </w:t>
      </w:r>
      <w:proofErr w:type="spellStart"/>
      <w:r w:rsidRPr="00D718C0">
        <w:rPr>
          <w:sz w:val="24"/>
          <w:szCs w:val="24"/>
          <w:lang w:val="en-US"/>
        </w:rPr>
        <w:t>verschleiert</w:t>
      </w:r>
      <w:proofErr w:type="spellEnd"/>
      <w:r w:rsidRPr="00D718C0">
        <w:rPr>
          <w:sz w:val="24"/>
          <w:szCs w:val="24"/>
          <w:lang w:val="en-US"/>
        </w:rPr>
        <w:t>.</w:t>
      </w:r>
    </w:p>
    <w:p w:rsidR="00D718C0" w:rsidRPr="00D718C0" w:rsidRDefault="00D718C0" w:rsidP="00D718C0">
      <w:pPr>
        <w:numPr>
          <w:ilvl w:val="1"/>
          <w:numId w:val="4"/>
        </w:numPr>
        <w:rPr>
          <w:sz w:val="24"/>
          <w:szCs w:val="24"/>
        </w:rPr>
      </w:pPr>
      <w:r w:rsidRPr="005B7EBA">
        <w:rPr>
          <w:sz w:val="24"/>
        </w:rPr>
        <w:t xml:space="preserve">Aus dem Notaufnahme-Situationsreport wurde die </w:t>
      </w:r>
      <w:proofErr w:type="spellStart"/>
      <w:r w:rsidRPr="005B7EBA">
        <w:rPr>
          <w:sz w:val="24"/>
        </w:rPr>
        <w:t>Notaufnahmesurveillance</w:t>
      </w:r>
      <w:proofErr w:type="spellEnd"/>
      <w:r w:rsidRPr="005B7EBA">
        <w:rPr>
          <w:sz w:val="24"/>
        </w:rPr>
        <w:t xml:space="preserve"> mit der Folge, dass seit dem 02.02.2020 Hinweise auf mögliche Zusammenhänge zwischen Nebenwirkungen der Covid-19-Impfungen und Art/Anzahl der Notaufnahmen nicht mehr nachverfolgt werden können. </w:t>
      </w:r>
    </w:p>
    <w:p w:rsidR="00D718C0" w:rsidRPr="00D718C0" w:rsidRDefault="00D718C0" w:rsidP="00D718C0">
      <w:pPr>
        <w:rPr>
          <w:sz w:val="24"/>
          <w:szCs w:val="24"/>
        </w:rPr>
      </w:pPr>
      <w:r w:rsidRPr="00D718C0">
        <w:rPr>
          <w:b/>
          <w:bCs/>
          <w:sz w:val="24"/>
          <w:szCs w:val="24"/>
        </w:rPr>
        <w:t>Schlussfolgerungen</w:t>
      </w:r>
      <w:r w:rsidRPr="00D718C0" w:rsidDel="004C21DC">
        <w:rPr>
          <w:sz w:val="24"/>
          <w:szCs w:val="24"/>
        </w:rPr>
        <w:t xml:space="preserve"> </w:t>
      </w:r>
    </w:p>
    <w:p w:rsidR="00D718C0" w:rsidRPr="00D718C0" w:rsidRDefault="00D718C0" w:rsidP="00D718C0">
      <w:pPr>
        <w:numPr>
          <w:ilvl w:val="0"/>
          <w:numId w:val="4"/>
        </w:numPr>
        <w:rPr>
          <w:sz w:val="24"/>
          <w:szCs w:val="24"/>
        </w:rPr>
      </w:pPr>
      <w:r w:rsidRPr="005B7EBA">
        <w:rPr>
          <w:sz w:val="24"/>
        </w:rPr>
        <w:t>Viele</w:t>
      </w:r>
      <w:r w:rsidRPr="00D718C0">
        <w:rPr>
          <w:sz w:val="24"/>
          <w:szCs w:val="24"/>
        </w:rPr>
        <w:t xml:space="preserve"> „offizielle“ Zahlen sind nicht aussagekräftig, widersprechen sich, sind nicht nachvollziehbar, werden verschleiert u./o. sind manipuliert. </w:t>
      </w:r>
    </w:p>
    <w:p w:rsidR="00D718C0" w:rsidRPr="00D718C0" w:rsidRDefault="00D718C0" w:rsidP="00D718C0">
      <w:pPr>
        <w:numPr>
          <w:ilvl w:val="0"/>
          <w:numId w:val="4"/>
        </w:numPr>
        <w:rPr>
          <w:sz w:val="24"/>
          <w:szCs w:val="24"/>
        </w:rPr>
      </w:pPr>
      <w:r w:rsidRPr="00D718C0">
        <w:rPr>
          <w:bCs/>
          <w:sz w:val="24"/>
          <w:szCs w:val="24"/>
        </w:rPr>
        <w:t xml:space="preserve">Es werden im großen Stil Zusammenhänge kommuniziert, die es gar nicht gibt. </w:t>
      </w:r>
    </w:p>
    <w:p w:rsidR="00D718C0" w:rsidRPr="00D718C0" w:rsidRDefault="00D718C0" w:rsidP="00D718C0">
      <w:pPr>
        <w:numPr>
          <w:ilvl w:val="0"/>
          <w:numId w:val="4"/>
        </w:numPr>
        <w:rPr>
          <w:sz w:val="24"/>
          <w:szCs w:val="24"/>
        </w:rPr>
      </w:pPr>
      <w:r w:rsidRPr="00D718C0">
        <w:rPr>
          <w:bCs/>
          <w:sz w:val="24"/>
          <w:szCs w:val="24"/>
        </w:rPr>
        <w:t>Zahlen, die auf eine Übersterblichkeit infolge der COVID-19 Impfungen hindeuten, werden falsch interpretiert oder ignoriert.</w:t>
      </w:r>
    </w:p>
    <w:p w:rsidR="00D718C0" w:rsidRPr="00D718C0" w:rsidRDefault="00D718C0" w:rsidP="00D718C0">
      <w:pPr>
        <w:numPr>
          <w:ilvl w:val="1"/>
          <w:numId w:val="4"/>
        </w:numPr>
        <w:rPr>
          <w:sz w:val="24"/>
          <w:szCs w:val="24"/>
        </w:rPr>
      </w:pPr>
      <w:r w:rsidRPr="005B7EBA">
        <w:rPr>
          <w:sz w:val="24"/>
        </w:rPr>
        <w:t>Inwieweit es sich bei den ONS-Zahlen um Nonsens-Korrelationen handelt, sollte von Experten beurteilt werden – jedoch sollten diese alarmierenden Zahlen keinesfalls ignoriert werden.</w:t>
      </w:r>
    </w:p>
    <w:p w:rsidR="00D718C0" w:rsidRPr="00D718C0" w:rsidRDefault="00D718C0" w:rsidP="00D718C0">
      <w:pPr>
        <w:numPr>
          <w:ilvl w:val="1"/>
          <w:numId w:val="4"/>
        </w:numPr>
        <w:rPr>
          <w:sz w:val="24"/>
          <w:szCs w:val="24"/>
        </w:rPr>
      </w:pPr>
      <w:r w:rsidRPr="005B7EBA">
        <w:rPr>
          <w:sz w:val="24"/>
        </w:rPr>
        <w:t>Es besteht Handlungsbedarf, retrospektiv die Daten von mehr Notaufnahmen transparent zu analysieren</w:t>
      </w:r>
      <w:r w:rsidRPr="00D718C0">
        <w:rPr>
          <w:bCs/>
          <w:sz w:val="24"/>
          <w:szCs w:val="24"/>
        </w:rPr>
        <w:t>.</w:t>
      </w:r>
    </w:p>
    <w:p w:rsidR="00B774D6" w:rsidRDefault="00A0529C">
      <w:pPr>
        <w:numPr>
          <w:ilvl w:val="0"/>
          <w:numId w:val="4"/>
        </w:numPr>
        <w:rPr>
          <w:sz w:val="24"/>
          <w:szCs w:val="24"/>
        </w:rPr>
      </w:pPr>
      <w:r w:rsidRPr="00A0529C">
        <w:rPr>
          <w:bCs/>
          <w:sz w:val="24"/>
          <w:szCs w:val="24"/>
        </w:rPr>
        <w:t xml:space="preserve">Entscheidungen auf </w:t>
      </w:r>
      <w:r w:rsidR="00131B50">
        <w:rPr>
          <w:bCs/>
          <w:sz w:val="24"/>
          <w:szCs w:val="24"/>
        </w:rPr>
        <w:t>einer derartigen</w:t>
      </w:r>
      <w:r w:rsidRPr="00A0529C">
        <w:rPr>
          <w:bCs/>
          <w:sz w:val="24"/>
          <w:szCs w:val="24"/>
        </w:rPr>
        <w:t xml:space="preserve"> Datenbasis sind als grob fährlässig einzustufen.</w:t>
      </w:r>
    </w:p>
    <w:sectPr w:rsidR="00B774D6" w:rsidSect="00726B93">
      <w:headerReference w:type="default" r:id="rId11"/>
      <w:footerReference w:type="default" r:id="rId12"/>
      <w:pgSz w:w="11906" w:h="16838" w:code="9"/>
      <w:pgMar w:top="1418"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4D6" w:rsidRDefault="00B774D6" w:rsidP="00D718C0">
      <w:pPr>
        <w:spacing w:after="0" w:line="240" w:lineRule="auto"/>
      </w:pPr>
      <w:r>
        <w:separator/>
      </w:r>
    </w:p>
  </w:endnote>
  <w:endnote w:type="continuationSeparator" w:id="0">
    <w:p w:rsidR="00B774D6" w:rsidRDefault="00B774D6" w:rsidP="00D718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rPr>
      <w:id w:val="441168302"/>
      <w:docPartObj>
        <w:docPartGallery w:val="Page Numbers (Bottom of Page)"/>
        <w:docPartUnique/>
      </w:docPartObj>
    </w:sdtPr>
    <w:sdtContent>
      <w:p w:rsidR="002D1BE9" w:rsidRDefault="00A0529C" w:rsidP="00A04D1A">
        <w:pPr>
          <w:pStyle w:val="Fuzeile"/>
          <w:jc w:val="right"/>
          <w:rPr>
            <w:sz w:val="24"/>
          </w:rPr>
        </w:pPr>
        <w:r w:rsidRPr="00A04D1A">
          <w:rPr>
            <w:sz w:val="24"/>
          </w:rPr>
          <w:fldChar w:fldCharType="begin"/>
        </w:r>
        <w:r w:rsidR="001F44BC" w:rsidRPr="00A04D1A">
          <w:rPr>
            <w:sz w:val="24"/>
          </w:rPr>
          <w:instrText xml:space="preserve"> PAGE   \* MERGEFORMAT </w:instrText>
        </w:r>
        <w:r w:rsidRPr="00A04D1A">
          <w:rPr>
            <w:sz w:val="24"/>
          </w:rPr>
          <w:fldChar w:fldCharType="separate"/>
        </w:r>
        <w:r w:rsidR="00561A06">
          <w:rPr>
            <w:noProof/>
            <w:sz w:val="24"/>
          </w:rPr>
          <w:t>3</w:t>
        </w:r>
        <w:r w:rsidRPr="00A04D1A">
          <w:rPr>
            <w:sz w:val="24"/>
          </w:rPr>
          <w:fldChar w:fldCharType="end"/>
        </w:r>
      </w:p>
      <w:p w:rsidR="002D1BE9" w:rsidRPr="00A04D1A" w:rsidRDefault="00A0529C" w:rsidP="00A04D1A">
        <w:pPr>
          <w:pStyle w:val="Fuzeile"/>
          <w:jc w:val="right"/>
          <w:rPr>
            <w:sz w:val="24"/>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4D6" w:rsidRDefault="00B774D6" w:rsidP="00D718C0">
      <w:pPr>
        <w:spacing w:after="0" w:line="240" w:lineRule="auto"/>
      </w:pPr>
      <w:r>
        <w:separator/>
      </w:r>
    </w:p>
  </w:footnote>
  <w:footnote w:type="continuationSeparator" w:id="0">
    <w:p w:rsidR="00B774D6" w:rsidRDefault="00B774D6" w:rsidP="00D718C0">
      <w:pPr>
        <w:spacing w:after="0" w:line="240" w:lineRule="auto"/>
      </w:pPr>
      <w:r>
        <w:continuationSeparator/>
      </w:r>
    </w:p>
  </w:footnote>
  <w:footnote w:id="1">
    <w:p w:rsidR="00596048" w:rsidRDefault="00596048">
      <w:pPr>
        <w:pStyle w:val="Funotentext"/>
      </w:pPr>
      <w:r>
        <w:rPr>
          <w:rStyle w:val="Funotenzeichen"/>
        </w:rPr>
        <w:footnoteRef/>
      </w:r>
      <w:r>
        <w:t xml:space="preserve"> </w:t>
      </w:r>
      <w:r w:rsidRPr="00596048">
        <w:t>zuständige Bundesoberbehörde</w:t>
      </w:r>
      <w:r>
        <w:t xml:space="preserve">: </w:t>
      </w:r>
      <w:r w:rsidRPr="00596048">
        <w:t>Paul-Ehrlich-Institut</w:t>
      </w:r>
      <w:r>
        <w:t xml:space="preserve"> (PEI)</w:t>
      </w:r>
    </w:p>
  </w:footnote>
  <w:footnote w:id="2">
    <w:p w:rsidR="00D718C0" w:rsidRDefault="00D718C0" w:rsidP="00D718C0">
      <w:pPr>
        <w:pStyle w:val="Funotentext"/>
      </w:pPr>
      <w:r>
        <w:rPr>
          <w:rStyle w:val="Funotenzeichen"/>
        </w:rPr>
        <w:footnoteRef/>
      </w:r>
      <w:r>
        <w:t xml:space="preserve"> RWI – </w:t>
      </w:r>
      <w:r w:rsidRPr="00DF46FE">
        <w:t>Leibniz-Institut für Wirtschaftsforschung</w:t>
      </w:r>
      <w:r>
        <w:t xml:space="preserve"> 2021/22: </w:t>
      </w:r>
      <w:hyperlink r:id="rId1" w:history="1">
        <w:r>
          <w:rPr>
            <w:rStyle w:val="Hyperlink"/>
          </w:rPr>
          <w:t xml:space="preserve">RWI Essen | </w:t>
        </w:r>
        <w:proofErr w:type="spellStart"/>
        <w:r>
          <w:rPr>
            <w:rStyle w:val="Hyperlink"/>
          </w:rPr>
          <w:t>Unstatistik</w:t>
        </w:r>
        <w:proofErr w:type="spellEnd"/>
        <w:r>
          <w:rPr>
            <w:rStyle w:val="Hyperlink"/>
          </w:rPr>
          <w:t xml:space="preserve"> (rwi-essen.de)</w:t>
        </w:r>
      </w:hyperlink>
    </w:p>
  </w:footnote>
  <w:footnote w:id="3">
    <w:p w:rsidR="00596048" w:rsidRDefault="00596048">
      <w:pPr>
        <w:pStyle w:val="Funotentext"/>
      </w:pPr>
      <w:r>
        <w:rPr>
          <w:rStyle w:val="Funotenzeichen"/>
        </w:rPr>
        <w:footnoteRef/>
      </w:r>
      <w:r>
        <w:t xml:space="preserve"> 1x/2x Geimpfte </w:t>
      </w:r>
      <w:r>
        <w:sym w:font="Symbol" w:char="F0B3"/>
      </w:r>
      <w:r>
        <w:t xml:space="preserve"> 21 Tage; erhöhte Sterberaten bei den 1x bzw. 2x Geimpften nach ca. 3 bzw. 7-8 Monaten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3DC" w:rsidRDefault="003163DC">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75F43"/>
    <w:multiLevelType w:val="hybridMultilevel"/>
    <w:tmpl w:val="A83A2CF8"/>
    <w:lvl w:ilvl="0" w:tplc="85044C68">
      <w:start w:val="1"/>
      <w:numFmt w:val="bullet"/>
      <w:lvlText w:val="•"/>
      <w:lvlJc w:val="left"/>
      <w:pPr>
        <w:tabs>
          <w:tab w:val="num" w:pos="720"/>
        </w:tabs>
        <w:ind w:left="720" w:hanging="360"/>
      </w:pPr>
      <w:rPr>
        <w:rFonts w:ascii="Arial" w:hAnsi="Arial" w:hint="default"/>
      </w:rPr>
    </w:lvl>
    <w:lvl w:ilvl="1" w:tplc="888CEE98">
      <w:start w:val="1099"/>
      <w:numFmt w:val="bullet"/>
      <w:lvlText w:val="–"/>
      <w:lvlJc w:val="left"/>
      <w:pPr>
        <w:tabs>
          <w:tab w:val="num" w:pos="1440"/>
        </w:tabs>
        <w:ind w:left="1440" w:hanging="360"/>
      </w:pPr>
      <w:rPr>
        <w:rFonts w:ascii="Arial" w:hAnsi="Arial" w:hint="default"/>
      </w:rPr>
    </w:lvl>
    <w:lvl w:ilvl="2" w:tplc="CD76A6E0" w:tentative="1">
      <w:start w:val="1"/>
      <w:numFmt w:val="bullet"/>
      <w:lvlText w:val="•"/>
      <w:lvlJc w:val="left"/>
      <w:pPr>
        <w:tabs>
          <w:tab w:val="num" w:pos="2160"/>
        </w:tabs>
        <w:ind w:left="2160" w:hanging="360"/>
      </w:pPr>
      <w:rPr>
        <w:rFonts w:ascii="Arial" w:hAnsi="Arial" w:hint="default"/>
      </w:rPr>
    </w:lvl>
    <w:lvl w:ilvl="3" w:tplc="6720CF84" w:tentative="1">
      <w:start w:val="1"/>
      <w:numFmt w:val="bullet"/>
      <w:lvlText w:val="•"/>
      <w:lvlJc w:val="left"/>
      <w:pPr>
        <w:tabs>
          <w:tab w:val="num" w:pos="2880"/>
        </w:tabs>
        <w:ind w:left="2880" w:hanging="360"/>
      </w:pPr>
      <w:rPr>
        <w:rFonts w:ascii="Arial" w:hAnsi="Arial" w:hint="default"/>
      </w:rPr>
    </w:lvl>
    <w:lvl w:ilvl="4" w:tplc="8864CF28" w:tentative="1">
      <w:start w:val="1"/>
      <w:numFmt w:val="bullet"/>
      <w:lvlText w:val="•"/>
      <w:lvlJc w:val="left"/>
      <w:pPr>
        <w:tabs>
          <w:tab w:val="num" w:pos="3600"/>
        </w:tabs>
        <w:ind w:left="3600" w:hanging="360"/>
      </w:pPr>
      <w:rPr>
        <w:rFonts w:ascii="Arial" w:hAnsi="Arial" w:hint="default"/>
      </w:rPr>
    </w:lvl>
    <w:lvl w:ilvl="5" w:tplc="D3087F94" w:tentative="1">
      <w:start w:val="1"/>
      <w:numFmt w:val="bullet"/>
      <w:lvlText w:val="•"/>
      <w:lvlJc w:val="left"/>
      <w:pPr>
        <w:tabs>
          <w:tab w:val="num" w:pos="4320"/>
        </w:tabs>
        <w:ind w:left="4320" w:hanging="360"/>
      </w:pPr>
      <w:rPr>
        <w:rFonts w:ascii="Arial" w:hAnsi="Arial" w:hint="default"/>
      </w:rPr>
    </w:lvl>
    <w:lvl w:ilvl="6" w:tplc="F7A8AED8" w:tentative="1">
      <w:start w:val="1"/>
      <w:numFmt w:val="bullet"/>
      <w:lvlText w:val="•"/>
      <w:lvlJc w:val="left"/>
      <w:pPr>
        <w:tabs>
          <w:tab w:val="num" w:pos="5040"/>
        </w:tabs>
        <w:ind w:left="5040" w:hanging="360"/>
      </w:pPr>
      <w:rPr>
        <w:rFonts w:ascii="Arial" w:hAnsi="Arial" w:hint="default"/>
      </w:rPr>
    </w:lvl>
    <w:lvl w:ilvl="7" w:tplc="40904B70" w:tentative="1">
      <w:start w:val="1"/>
      <w:numFmt w:val="bullet"/>
      <w:lvlText w:val="•"/>
      <w:lvlJc w:val="left"/>
      <w:pPr>
        <w:tabs>
          <w:tab w:val="num" w:pos="5760"/>
        </w:tabs>
        <w:ind w:left="5760" w:hanging="360"/>
      </w:pPr>
      <w:rPr>
        <w:rFonts w:ascii="Arial" w:hAnsi="Arial" w:hint="default"/>
      </w:rPr>
    </w:lvl>
    <w:lvl w:ilvl="8" w:tplc="5FC2196A" w:tentative="1">
      <w:start w:val="1"/>
      <w:numFmt w:val="bullet"/>
      <w:lvlText w:val="•"/>
      <w:lvlJc w:val="left"/>
      <w:pPr>
        <w:tabs>
          <w:tab w:val="num" w:pos="6480"/>
        </w:tabs>
        <w:ind w:left="6480" w:hanging="360"/>
      </w:pPr>
      <w:rPr>
        <w:rFonts w:ascii="Arial" w:hAnsi="Arial" w:hint="default"/>
      </w:rPr>
    </w:lvl>
  </w:abstractNum>
  <w:abstractNum w:abstractNumId="1">
    <w:nsid w:val="156625D1"/>
    <w:multiLevelType w:val="hybridMultilevel"/>
    <w:tmpl w:val="07BE6D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09010FF"/>
    <w:multiLevelType w:val="hybridMultilevel"/>
    <w:tmpl w:val="768433B8"/>
    <w:lvl w:ilvl="0" w:tplc="6EAAE190">
      <w:start w:val="1"/>
      <w:numFmt w:val="bullet"/>
      <w:lvlText w:val="•"/>
      <w:lvlJc w:val="left"/>
      <w:pPr>
        <w:tabs>
          <w:tab w:val="num" w:pos="720"/>
        </w:tabs>
        <w:ind w:left="720" w:hanging="360"/>
      </w:pPr>
      <w:rPr>
        <w:rFonts w:ascii="Arial" w:hAnsi="Arial" w:hint="default"/>
      </w:rPr>
    </w:lvl>
    <w:lvl w:ilvl="1" w:tplc="FCDE999C" w:tentative="1">
      <w:start w:val="1"/>
      <w:numFmt w:val="bullet"/>
      <w:lvlText w:val="•"/>
      <w:lvlJc w:val="left"/>
      <w:pPr>
        <w:tabs>
          <w:tab w:val="num" w:pos="1440"/>
        </w:tabs>
        <w:ind w:left="1440" w:hanging="360"/>
      </w:pPr>
      <w:rPr>
        <w:rFonts w:ascii="Arial" w:hAnsi="Arial" w:hint="default"/>
      </w:rPr>
    </w:lvl>
    <w:lvl w:ilvl="2" w:tplc="9120DAB2" w:tentative="1">
      <w:start w:val="1"/>
      <w:numFmt w:val="bullet"/>
      <w:lvlText w:val="•"/>
      <w:lvlJc w:val="left"/>
      <w:pPr>
        <w:tabs>
          <w:tab w:val="num" w:pos="2160"/>
        </w:tabs>
        <w:ind w:left="2160" w:hanging="360"/>
      </w:pPr>
      <w:rPr>
        <w:rFonts w:ascii="Arial" w:hAnsi="Arial" w:hint="default"/>
      </w:rPr>
    </w:lvl>
    <w:lvl w:ilvl="3" w:tplc="777428DE" w:tentative="1">
      <w:start w:val="1"/>
      <w:numFmt w:val="bullet"/>
      <w:lvlText w:val="•"/>
      <w:lvlJc w:val="left"/>
      <w:pPr>
        <w:tabs>
          <w:tab w:val="num" w:pos="2880"/>
        </w:tabs>
        <w:ind w:left="2880" w:hanging="360"/>
      </w:pPr>
      <w:rPr>
        <w:rFonts w:ascii="Arial" w:hAnsi="Arial" w:hint="default"/>
      </w:rPr>
    </w:lvl>
    <w:lvl w:ilvl="4" w:tplc="35B261C2" w:tentative="1">
      <w:start w:val="1"/>
      <w:numFmt w:val="bullet"/>
      <w:lvlText w:val="•"/>
      <w:lvlJc w:val="left"/>
      <w:pPr>
        <w:tabs>
          <w:tab w:val="num" w:pos="3600"/>
        </w:tabs>
        <w:ind w:left="3600" w:hanging="360"/>
      </w:pPr>
      <w:rPr>
        <w:rFonts w:ascii="Arial" w:hAnsi="Arial" w:hint="default"/>
      </w:rPr>
    </w:lvl>
    <w:lvl w:ilvl="5" w:tplc="C8EA54C6" w:tentative="1">
      <w:start w:val="1"/>
      <w:numFmt w:val="bullet"/>
      <w:lvlText w:val="•"/>
      <w:lvlJc w:val="left"/>
      <w:pPr>
        <w:tabs>
          <w:tab w:val="num" w:pos="4320"/>
        </w:tabs>
        <w:ind w:left="4320" w:hanging="360"/>
      </w:pPr>
      <w:rPr>
        <w:rFonts w:ascii="Arial" w:hAnsi="Arial" w:hint="default"/>
      </w:rPr>
    </w:lvl>
    <w:lvl w:ilvl="6" w:tplc="93D844D8" w:tentative="1">
      <w:start w:val="1"/>
      <w:numFmt w:val="bullet"/>
      <w:lvlText w:val="•"/>
      <w:lvlJc w:val="left"/>
      <w:pPr>
        <w:tabs>
          <w:tab w:val="num" w:pos="5040"/>
        </w:tabs>
        <w:ind w:left="5040" w:hanging="360"/>
      </w:pPr>
      <w:rPr>
        <w:rFonts w:ascii="Arial" w:hAnsi="Arial" w:hint="default"/>
      </w:rPr>
    </w:lvl>
    <w:lvl w:ilvl="7" w:tplc="9D2E7826" w:tentative="1">
      <w:start w:val="1"/>
      <w:numFmt w:val="bullet"/>
      <w:lvlText w:val="•"/>
      <w:lvlJc w:val="left"/>
      <w:pPr>
        <w:tabs>
          <w:tab w:val="num" w:pos="5760"/>
        </w:tabs>
        <w:ind w:left="5760" w:hanging="360"/>
      </w:pPr>
      <w:rPr>
        <w:rFonts w:ascii="Arial" w:hAnsi="Arial" w:hint="default"/>
      </w:rPr>
    </w:lvl>
    <w:lvl w:ilvl="8" w:tplc="E480AA2C" w:tentative="1">
      <w:start w:val="1"/>
      <w:numFmt w:val="bullet"/>
      <w:lvlText w:val="•"/>
      <w:lvlJc w:val="left"/>
      <w:pPr>
        <w:tabs>
          <w:tab w:val="num" w:pos="6480"/>
        </w:tabs>
        <w:ind w:left="6480" w:hanging="360"/>
      </w:pPr>
      <w:rPr>
        <w:rFonts w:ascii="Arial" w:hAnsi="Arial" w:hint="default"/>
      </w:rPr>
    </w:lvl>
  </w:abstractNum>
  <w:abstractNum w:abstractNumId="3">
    <w:nsid w:val="432521ED"/>
    <w:multiLevelType w:val="hybridMultilevel"/>
    <w:tmpl w:val="6A7CA37C"/>
    <w:lvl w:ilvl="0" w:tplc="755A70F0">
      <w:start w:val="1"/>
      <w:numFmt w:val="bullet"/>
      <w:lvlText w:val="•"/>
      <w:lvlJc w:val="left"/>
      <w:pPr>
        <w:tabs>
          <w:tab w:val="num" w:pos="720"/>
        </w:tabs>
        <w:ind w:left="720" w:hanging="360"/>
      </w:pPr>
      <w:rPr>
        <w:rFonts w:ascii="Arial" w:hAnsi="Arial" w:hint="default"/>
      </w:rPr>
    </w:lvl>
    <w:lvl w:ilvl="1" w:tplc="30906874">
      <w:start w:val="2014"/>
      <w:numFmt w:val="bullet"/>
      <w:lvlText w:val="–"/>
      <w:lvlJc w:val="left"/>
      <w:pPr>
        <w:tabs>
          <w:tab w:val="num" w:pos="1440"/>
        </w:tabs>
        <w:ind w:left="1440" w:hanging="360"/>
      </w:pPr>
      <w:rPr>
        <w:rFonts w:ascii="Arial" w:hAnsi="Arial" w:hint="default"/>
      </w:rPr>
    </w:lvl>
    <w:lvl w:ilvl="2" w:tplc="C55AA75C" w:tentative="1">
      <w:start w:val="1"/>
      <w:numFmt w:val="bullet"/>
      <w:lvlText w:val="•"/>
      <w:lvlJc w:val="left"/>
      <w:pPr>
        <w:tabs>
          <w:tab w:val="num" w:pos="2160"/>
        </w:tabs>
        <w:ind w:left="2160" w:hanging="360"/>
      </w:pPr>
      <w:rPr>
        <w:rFonts w:ascii="Arial" w:hAnsi="Arial" w:hint="default"/>
      </w:rPr>
    </w:lvl>
    <w:lvl w:ilvl="3" w:tplc="1734AF20" w:tentative="1">
      <w:start w:val="1"/>
      <w:numFmt w:val="bullet"/>
      <w:lvlText w:val="•"/>
      <w:lvlJc w:val="left"/>
      <w:pPr>
        <w:tabs>
          <w:tab w:val="num" w:pos="2880"/>
        </w:tabs>
        <w:ind w:left="2880" w:hanging="360"/>
      </w:pPr>
      <w:rPr>
        <w:rFonts w:ascii="Arial" w:hAnsi="Arial" w:hint="default"/>
      </w:rPr>
    </w:lvl>
    <w:lvl w:ilvl="4" w:tplc="E508F924" w:tentative="1">
      <w:start w:val="1"/>
      <w:numFmt w:val="bullet"/>
      <w:lvlText w:val="•"/>
      <w:lvlJc w:val="left"/>
      <w:pPr>
        <w:tabs>
          <w:tab w:val="num" w:pos="3600"/>
        </w:tabs>
        <w:ind w:left="3600" w:hanging="360"/>
      </w:pPr>
      <w:rPr>
        <w:rFonts w:ascii="Arial" w:hAnsi="Arial" w:hint="default"/>
      </w:rPr>
    </w:lvl>
    <w:lvl w:ilvl="5" w:tplc="771E57C2" w:tentative="1">
      <w:start w:val="1"/>
      <w:numFmt w:val="bullet"/>
      <w:lvlText w:val="•"/>
      <w:lvlJc w:val="left"/>
      <w:pPr>
        <w:tabs>
          <w:tab w:val="num" w:pos="4320"/>
        </w:tabs>
        <w:ind w:left="4320" w:hanging="360"/>
      </w:pPr>
      <w:rPr>
        <w:rFonts w:ascii="Arial" w:hAnsi="Arial" w:hint="default"/>
      </w:rPr>
    </w:lvl>
    <w:lvl w:ilvl="6" w:tplc="0EE81F4A" w:tentative="1">
      <w:start w:val="1"/>
      <w:numFmt w:val="bullet"/>
      <w:lvlText w:val="•"/>
      <w:lvlJc w:val="left"/>
      <w:pPr>
        <w:tabs>
          <w:tab w:val="num" w:pos="5040"/>
        </w:tabs>
        <w:ind w:left="5040" w:hanging="360"/>
      </w:pPr>
      <w:rPr>
        <w:rFonts w:ascii="Arial" w:hAnsi="Arial" w:hint="default"/>
      </w:rPr>
    </w:lvl>
    <w:lvl w:ilvl="7" w:tplc="DF30AE34" w:tentative="1">
      <w:start w:val="1"/>
      <w:numFmt w:val="bullet"/>
      <w:lvlText w:val="•"/>
      <w:lvlJc w:val="left"/>
      <w:pPr>
        <w:tabs>
          <w:tab w:val="num" w:pos="5760"/>
        </w:tabs>
        <w:ind w:left="5760" w:hanging="360"/>
      </w:pPr>
      <w:rPr>
        <w:rFonts w:ascii="Arial" w:hAnsi="Arial" w:hint="default"/>
      </w:rPr>
    </w:lvl>
    <w:lvl w:ilvl="8" w:tplc="764A9212" w:tentative="1">
      <w:start w:val="1"/>
      <w:numFmt w:val="bullet"/>
      <w:lvlText w:val="•"/>
      <w:lvlJc w:val="left"/>
      <w:pPr>
        <w:tabs>
          <w:tab w:val="num" w:pos="6480"/>
        </w:tabs>
        <w:ind w:left="6480" w:hanging="360"/>
      </w:pPr>
      <w:rPr>
        <w:rFonts w:ascii="Arial" w:hAnsi="Arial" w:hint="default"/>
      </w:rPr>
    </w:lvl>
  </w:abstractNum>
  <w:abstractNum w:abstractNumId="4">
    <w:nsid w:val="57761237"/>
    <w:multiLevelType w:val="hybridMultilevel"/>
    <w:tmpl w:val="1862E9FA"/>
    <w:lvl w:ilvl="0" w:tplc="A51A7DA6">
      <w:start w:val="1"/>
      <w:numFmt w:val="bullet"/>
      <w:lvlText w:val="•"/>
      <w:lvlJc w:val="left"/>
      <w:pPr>
        <w:tabs>
          <w:tab w:val="num" w:pos="720"/>
        </w:tabs>
        <w:ind w:left="720" w:hanging="360"/>
      </w:pPr>
      <w:rPr>
        <w:rFonts w:ascii="Arial" w:hAnsi="Arial" w:hint="default"/>
      </w:rPr>
    </w:lvl>
    <w:lvl w:ilvl="1" w:tplc="D75EE5D0">
      <w:start w:val="1089"/>
      <w:numFmt w:val="bullet"/>
      <w:lvlText w:val=""/>
      <w:lvlJc w:val="left"/>
      <w:pPr>
        <w:tabs>
          <w:tab w:val="num" w:pos="1440"/>
        </w:tabs>
        <w:ind w:left="1440" w:hanging="360"/>
      </w:pPr>
      <w:rPr>
        <w:rFonts w:ascii="Symbol" w:hAnsi="Symbol" w:hint="default"/>
      </w:rPr>
    </w:lvl>
    <w:lvl w:ilvl="2" w:tplc="11F8BD28" w:tentative="1">
      <w:start w:val="1"/>
      <w:numFmt w:val="bullet"/>
      <w:lvlText w:val="•"/>
      <w:lvlJc w:val="left"/>
      <w:pPr>
        <w:tabs>
          <w:tab w:val="num" w:pos="2160"/>
        </w:tabs>
        <w:ind w:left="2160" w:hanging="360"/>
      </w:pPr>
      <w:rPr>
        <w:rFonts w:ascii="Arial" w:hAnsi="Arial" w:hint="default"/>
      </w:rPr>
    </w:lvl>
    <w:lvl w:ilvl="3" w:tplc="25C8F47C" w:tentative="1">
      <w:start w:val="1"/>
      <w:numFmt w:val="bullet"/>
      <w:lvlText w:val="•"/>
      <w:lvlJc w:val="left"/>
      <w:pPr>
        <w:tabs>
          <w:tab w:val="num" w:pos="2880"/>
        </w:tabs>
        <w:ind w:left="2880" w:hanging="360"/>
      </w:pPr>
      <w:rPr>
        <w:rFonts w:ascii="Arial" w:hAnsi="Arial" w:hint="default"/>
      </w:rPr>
    </w:lvl>
    <w:lvl w:ilvl="4" w:tplc="F68C208C" w:tentative="1">
      <w:start w:val="1"/>
      <w:numFmt w:val="bullet"/>
      <w:lvlText w:val="•"/>
      <w:lvlJc w:val="left"/>
      <w:pPr>
        <w:tabs>
          <w:tab w:val="num" w:pos="3600"/>
        </w:tabs>
        <w:ind w:left="3600" w:hanging="360"/>
      </w:pPr>
      <w:rPr>
        <w:rFonts w:ascii="Arial" w:hAnsi="Arial" w:hint="default"/>
      </w:rPr>
    </w:lvl>
    <w:lvl w:ilvl="5" w:tplc="F664F7DE" w:tentative="1">
      <w:start w:val="1"/>
      <w:numFmt w:val="bullet"/>
      <w:lvlText w:val="•"/>
      <w:lvlJc w:val="left"/>
      <w:pPr>
        <w:tabs>
          <w:tab w:val="num" w:pos="4320"/>
        </w:tabs>
        <w:ind w:left="4320" w:hanging="360"/>
      </w:pPr>
      <w:rPr>
        <w:rFonts w:ascii="Arial" w:hAnsi="Arial" w:hint="default"/>
      </w:rPr>
    </w:lvl>
    <w:lvl w:ilvl="6" w:tplc="85B62E02" w:tentative="1">
      <w:start w:val="1"/>
      <w:numFmt w:val="bullet"/>
      <w:lvlText w:val="•"/>
      <w:lvlJc w:val="left"/>
      <w:pPr>
        <w:tabs>
          <w:tab w:val="num" w:pos="5040"/>
        </w:tabs>
        <w:ind w:left="5040" w:hanging="360"/>
      </w:pPr>
      <w:rPr>
        <w:rFonts w:ascii="Arial" w:hAnsi="Arial" w:hint="default"/>
      </w:rPr>
    </w:lvl>
    <w:lvl w:ilvl="7" w:tplc="5580748A" w:tentative="1">
      <w:start w:val="1"/>
      <w:numFmt w:val="bullet"/>
      <w:lvlText w:val="•"/>
      <w:lvlJc w:val="left"/>
      <w:pPr>
        <w:tabs>
          <w:tab w:val="num" w:pos="5760"/>
        </w:tabs>
        <w:ind w:left="5760" w:hanging="360"/>
      </w:pPr>
      <w:rPr>
        <w:rFonts w:ascii="Arial" w:hAnsi="Arial" w:hint="default"/>
      </w:rPr>
    </w:lvl>
    <w:lvl w:ilvl="8" w:tplc="4400491C" w:tentative="1">
      <w:start w:val="1"/>
      <w:numFmt w:val="bullet"/>
      <w:lvlText w:val="•"/>
      <w:lvlJc w:val="left"/>
      <w:pPr>
        <w:tabs>
          <w:tab w:val="num" w:pos="6480"/>
        </w:tabs>
        <w:ind w:left="6480" w:hanging="360"/>
      </w:pPr>
      <w:rPr>
        <w:rFonts w:ascii="Arial" w:hAnsi="Arial" w:hint="default"/>
      </w:rPr>
    </w:lvl>
  </w:abstractNum>
  <w:abstractNum w:abstractNumId="5">
    <w:nsid w:val="607707B8"/>
    <w:multiLevelType w:val="hybridMultilevel"/>
    <w:tmpl w:val="7FC2DC94"/>
    <w:lvl w:ilvl="0" w:tplc="A57E605C">
      <w:start w:val="1"/>
      <w:numFmt w:val="bullet"/>
      <w:lvlText w:val="•"/>
      <w:lvlJc w:val="left"/>
      <w:pPr>
        <w:tabs>
          <w:tab w:val="num" w:pos="720"/>
        </w:tabs>
        <w:ind w:left="720" w:hanging="360"/>
      </w:pPr>
      <w:rPr>
        <w:rFonts w:ascii="Arial" w:hAnsi="Arial" w:hint="default"/>
      </w:rPr>
    </w:lvl>
    <w:lvl w:ilvl="1" w:tplc="0E68240E">
      <w:start w:val="2014"/>
      <w:numFmt w:val="bullet"/>
      <w:lvlText w:val="–"/>
      <w:lvlJc w:val="left"/>
      <w:pPr>
        <w:tabs>
          <w:tab w:val="num" w:pos="1440"/>
        </w:tabs>
        <w:ind w:left="1440" w:hanging="360"/>
      </w:pPr>
      <w:rPr>
        <w:rFonts w:ascii="Arial" w:hAnsi="Arial" w:hint="default"/>
      </w:rPr>
    </w:lvl>
    <w:lvl w:ilvl="2" w:tplc="B3D6B7CE" w:tentative="1">
      <w:start w:val="1"/>
      <w:numFmt w:val="bullet"/>
      <w:lvlText w:val="•"/>
      <w:lvlJc w:val="left"/>
      <w:pPr>
        <w:tabs>
          <w:tab w:val="num" w:pos="2160"/>
        </w:tabs>
        <w:ind w:left="2160" w:hanging="360"/>
      </w:pPr>
      <w:rPr>
        <w:rFonts w:ascii="Arial" w:hAnsi="Arial" w:hint="default"/>
      </w:rPr>
    </w:lvl>
    <w:lvl w:ilvl="3" w:tplc="EA3A4F8E" w:tentative="1">
      <w:start w:val="1"/>
      <w:numFmt w:val="bullet"/>
      <w:lvlText w:val="•"/>
      <w:lvlJc w:val="left"/>
      <w:pPr>
        <w:tabs>
          <w:tab w:val="num" w:pos="2880"/>
        </w:tabs>
        <w:ind w:left="2880" w:hanging="360"/>
      </w:pPr>
      <w:rPr>
        <w:rFonts w:ascii="Arial" w:hAnsi="Arial" w:hint="default"/>
      </w:rPr>
    </w:lvl>
    <w:lvl w:ilvl="4" w:tplc="85988A80" w:tentative="1">
      <w:start w:val="1"/>
      <w:numFmt w:val="bullet"/>
      <w:lvlText w:val="•"/>
      <w:lvlJc w:val="left"/>
      <w:pPr>
        <w:tabs>
          <w:tab w:val="num" w:pos="3600"/>
        </w:tabs>
        <w:ind w:left="3600" w:hanging="360"/>
      </w:pPr>
      <w:rPr>
        <w:rFonts w:ascii="Arial" w:hAnsi="Arial" w:hint="default"/>
      </w:rPr>
    </w:lvl>
    <w:lvl w:ilvl="5" w:tplc="CB06302E" w:tentative="1">
      <w:start w:val="1"/>
      <w:numFmt w:val="bullet"/>
      <w:lvlText w:val="•"/>
      <w:lvlJc w:val="left"/>
      <w:pPr>
        <w:tabs>
          <w:tab w:val="num" w:pos="4320"/>
        </w:tabs>
        <w:ind w:left="4320" w:hanging="360"/>
      </w:pPr>
      <w:rPr>
        <w:rFonts w:ascii="Arial" w:hAnsi="Arial" w:hint="default"/>
      </w:rPr>
    </w:lvl>
    <w:lvl w:ilvl="6" w:tplc="D29C659C" w:tentative="1">
      <w:start w:val="1"/>
      <w:numFmt w:val="bullet"/>
      <w:lvlText w:val="•"/>
      <w:lvlJc w:val="left"/>
      <w:pPr>
        <w:tabs>
          <w:tab w:val="num" w:pos="5040"/>
        </w:tabs>
        <w:ind w:left="5040" w:hanging="360"/>
      </w:pPr>
      <w:rPr>
        <w:rFonts w:ascii="Arial" w:hAnsi="Arial" w:hint="default"/>
      </w:rPr>
    </w:lvl>
    <w:lvl w:ilvl="7" w:tplc="92C621E8" w:tentative="1">
      <w:start w:val="1"/>
      <w:numFmt w:val="bullet"/>
      <w:lvlText w:val="•"/>
      <w:lvlJc w:val="left"/>
      <w:pPr>
        <w:tabs>
          <w:tab w:val="num" w:pos="5760"/>
        </w:tabs>
        <w:ind w:left="5760" w:hanging="360"/>
      </w:pPr>
      <w:rPr>
        <w:rFonts w:ascii="Arial" w:hAnsi="Arial" w:hint="default"/>
      </w:rPr>
    </w:lvl>
    <w:lvl w:ilvl="8" w:tplc="384623A6" w:tentative="1">
      <w:start w:val="1"/>
      <w:numFmt w:val="bullet"/>
      <w:lvlText w:val="•"/>
      <w:lvlJc w:val="left"/>
      <w:pPr>
        <w:tabs>
          <w:tab w:val="num" w:pos="6480"/>
        </w:tabs>
        <w:ind w:left="6480" w:hanging="360"/>
      </w:pPr>
      <w:rPr>
        <w:rFonts w:ascii="Arial" w:hAnsi="Arial" w:hint="default"/>
      </w:rPr>
    </w:lvl>
  </w:abstractNum>
  <w:abstractNum w:abstractNumId="6">
    <w:nsid w:val="701D5B89"/>
    <w:multiLevelType w:val="hybridMultilevel"/>
    <w:tmpl w:val="C80887D8"/>
    <w:lvl w:ilvl="0" w:tplc="0AF478A8">
      <w:start w:val="1"/>
      <w:numFmt w:val="bullet"/>
      <w:lvlText w:val="•"/>
      <w:lvlJc w:val="left"/>
      <w:pPr>
        <w:tabs>
          <w:tab w:val="num" w:pos="720"/>
        </w:tabs>
        <w:ind w:left="720" w:hanging="360"/>
      </w:pPr>
      <w:rPr>
        <w:rFonts w:ascii="Arial" w:hAnsi="Arial" w:hint="default"/>
      </w:rPr>
    </w:lvl>
    <w:lvl w:ilvl="1" w:tplc="30C672EA">
      <w:start w:val="1079"/>
      <w:numFmt w:val="bullet"/>
      <w:lvlText w:val="–"/>
      <w:lvlJc w:val="left"/>
      <w:pPr>
        <w:tabs>
          <w:tab w:val="num" w:pos="1440"/>
        </w:tabs>
        <w:ind w:left="1440" w:hanging="360"/>
      </w:pPr>
      <w:rPr>
        <w:rFonts w:ascii="Arial" w:hAnsi="Arial" w:hint="default"/>
      </w:rPr>
    </w:lvl>
    <w:lvl w:ilvl="2" w:tplc="0C58E636" w:tentative="1">
      <w:start w:val="1"/>
      <w:numFmt w:val="bullet"/>
      <w:lvlText w:val="•"/>
      <w:lvlJc w:val="left"/>
      <w:pPr>
        <w:tabs>
          <w:tab w:val="num" w:pos="2160"/>
        </w:tabs>
        <w:ind w:left="2160" w:hanging="360"/>
      </w:pPr>
      <w:rPr>
        <w:rFonts w:ascii="Arial" w:hAnsi="Arial" w:hint="default"/>
      </w:rPr>
    </w:lvl>
    <w:lvl w:ilvl="3" w:tplc="45509D00" w:tentative="1">
      <w:start w:val="1"/>
      <w:numFmt w:val="bullet"/>
      <w:lvlText w:val="•"/>
      <w:lvlJc w:val="left"/>
      <w:pPr>
        <w:tabs>
          <w:tab w:val="num" w:pos="2880"/>
        </w:tabs>
        <w:ind w:left="2880" w:hanging="360"/>
      </w:pPr>
      <w:rPr>
        <w:rFonts w:ascii="Arial" w:hAnsi="Arial" w:hint="default"/>
      </w:rPr>
    </w:lvl>
    <w:lvl w:ilvl="4" w:tplc="B6EC2E78" w:tentative="1">
      <w:start w:val="1"/>
      <w:numFmt w:val="bullet"/>
      <w:lvlText w:val="•"/>
      <w:lvlJc w:val="left"/>
      <w:pPr>
        <w:tabs>
          <w:tab w:val="num" w:pos="3600"/>
        </w:tabs>
        <w:ind w:left="3600" w:hanging="360"/>
      </w:pPr>
      <w:rPr>
        <w:rFonts w:ascii="Arial" w:hAnsi="Arial" w:hint="default"/>
      </w:rPr>
    </w:lvl>
    <w:lvl w:ilvl="5" w:tplc="2870DB68" w:tentative="1">
      <w:start w:val="1"/>
      <w:numFmt w:val="bullet"/>
      <w:lvlText w:val="•"/>
      <w:lvlJc w:val="left"/>
      <w:pPr>
        <w:tabs>
          <w:tab w:val="num" w:pos="4320"/>
        </w:tabs>
        <w:ind w:left="4320" w:hanging="360"/>
      </w:pPr>
      <w:rPr>
        <w:rFonts w:ascii="Arial" w:hAnsi="Arial" w:hint="default"/>
      </w:rPr>
    </w:lvl>
    <w:lvl w:ilvl="6" w:tplc="E1FAF56C" w:tentative="1">
      <w:start w:val="1"/>
      <w:numFmt w:val="bullet"/>
      <w:lvlText w:val="•"/>
      <w:lvlJc w:val="left"/>
      <w:pPr>
        <w:tabs>
          <w:tab w:val="num" w:pos="5040"/>
        </w:tabs>
        <w:ind w:left="5040" w:hanging="360"/>
      </w:pPr>
      <w:rPr>
        <w:rFonts w:ascii="Arial" w:hAnsi="Arial" w:hint="default"/>
      </w:rPr>
    </w:lvl>
    <w:lvl w:ilvl="7" w:tplc="E7ECE486" w:tentative="1">
      <w:start w:val="1"/>
      <w:numFmt w:val="bullet"/>
      <w:lvlText w:val="•"/>
      <w:lvlJc w:val="left"/>
      <w:pPr>
        <w:tabs>
          <w:tab w:val="num" w:pos="5760"/>
        </w:tabs>
        <w:ind w:left="5760" w:hanging="360"/>
      </w:pPr>
      <w:rPr>
        <w:rFonts w:ascii="Arial" w:hAnsi="Arial" w:hint="default"/>
      </w:rPr>
    </w:lvl>
    <w:lvl w:ilvl="8" w:tplc="A45CE45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5"/>
  </w:num>
  <w:num w:numId="3">
    <w:abstractNumId w:val="6"/>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08"/>
  <w:hyphenationZone w:val="425"/>
  <w:characterSpacingControl w:val="doNotCompress"/>
  <w:footnotePr>
    <w:footnote w:id="-1"/>
    <w:footnote w:id="0"/>
  </w:footnotePr>
  <w:endnotePr>
    <w:endnote w:id="-1"/>
    <w:endnote w:id="0"/>
  </w:endnotePr>
  <w:compat/>
  <w:rsids>
    <w:rsidRoot w:val="00D718C0"/>
    <w:rsid w:val="00103BA2"/>
    <w:rsid w:val="00113DE0"/>
    <w:rsid w:val="00131B50"/>
    <w:rsid w:val="001F44BC"/>
    <w:rsid w:val="002524AD"/>
    <w:rsid w:val="00286AF1"/>
    <w:rsid w:val="002904D2"/>
    <w:rsid w:val="002C2B7F"/>
    <w:rsid w:val="003163DC"/>
    <w:rsid w:val="00334822"/>
    <w:rsid w:val="00380DCB"/>
    <w:rsid w:val="003A7BCA"/>
    <w:rsid w:val="003F600D"/>
    <w:rsid w:val="003F723D"/>
    <w:rsid w:val="00436CCF"/>
    <w:rsid w:val="004B19D2"/>
    <w:rsid w:val="00514CA3"/>
    <w:rsid w:val="00561A06"/>
    <w:rsid w:val="00574A2E"/>
    <w:rsid w:val="00596048"/>
    <w:rsid w:val="005A76FD"/>
    <w:rsid w:val="005B7EBA"/>
    <w:rsid w:val="005D70A4"/>
    <w:rsid w:val="00664DF7"/>
    <w:rsid w:val="006A07D2"/>
    <w:rsid w:val="006A2D11"/>
    <w:rsid w:val="0073413D"/>
    <w:rsid w:val="00760648"/>
    <w:rsid w:val="00772DB8"/>
    <w:rsid w:val="007B1F9D"/>
    <w:rsid w:val="007F0A60"/>
    <w:rsid w:val="007F1997"/>
    <w:rsid w:val="0080656A"/>
    <w:rsid w:val="008A3535"/>
    <w:rsid w:val="008F38F8"/>
    <w:rsid w:val="009D131D"/>
    <w:rsid w:val="00A0529C"/>
    <w:rsid w:val="00B542AD"/>
    <w:rsid w:val="00B56769"/>
    <w:rsid w:val="00B774D6"/>
    <w:rsid w:val="00BE7CB1"/>
    <w:rsid w:val="00C41336"/>
    <w:rsid w:val="00CC3047"/>
    <w:rsid w:val="00CE1CEA"/>
    <w:rsid w:val="00D30F66"/>
    <w:rsid w:val="00D429CE"/>
    <w:rsid w:val="00D718C0"/>
    <w:rsid w:val="00E011F1"/>
    <w:rsid w:val="00E259F7"/>
    <w:rsid w:val="00EA62F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6CC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D718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718C0"/>
  </w:style>
  <w:style w:type="character" w:styleId="Hyperlink">
    <w:name w:val="Hyperlink"/>
    <w:basedOn w:val="Absatz-Standardschriftart"/>
    <w:uiPriority w:val="99"/>
    <w:unhideWhenUsed/>
    <w:rsid w:val="00D718C0"/>
    <w:rPr>
      <w:color w:val="0000FF" w:themeColor="hyperlink"/>
      <w:u w:val="single"/>
    </w:rPr>
  </w:style>
  <w:style w:type="paragraph" w:styleId="Funotentext">
    <w:name w:val="footnote text"/>
    <w:basedOn w:val="Standard"/>
    <w:link w:val="FunotentextZchn"/>
    <w:uiPriority w:val="99"/>
    <w:semiHidden/>
    <w:unhideWhenUsed/>
    <w:rsid w:val="00D718C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718C0"/>
    <w:rPr>
      <w:sz w:val="20"/>
      <w:szCs w:val="20"/>
    </w:rPr>
  </w:style>
  <w:style w:type="character" w:styleId="Funotenzeichen">
    <w:name w:val="footnote reference"/>
    <w:basedOn w:val="Absatz-Standardschriftart"/>
    <w:uiPriority w:val="99"/>
    <w:semiHidden/>
    <w:unhideWhenUsed/>
    <w:rsid w:val="00D718C0"/>
    <w:rPr>
      <w:vertAlign w:val="superscript"/>
    </w:rPr>
  </w:style>
  <w:style w:type="paragraph" w:styleId="Kopfzeile">
    <w:name w:val="header"/>
    <w:basedOn w:val="Standard"/>
    <w:link w:val="KopfzeileZchn"/>
    <w:uiPriority w:val="99"/>
    <w:semiHidden/>
    <w:unhideWhenUsed/>
    <w:rsid w:val="003163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163DC"/>
  </w:style>
  <w:style w:type="paragraph" w:styleId="Sprechblasentext">
    <w:name w:val="Balloon Text"/>
    <w:basedOn w:val="Standard"/>
    <w:link w:val="SprechblasentextZchn"/>
    <w:uiPriority w:val="99"/>
    <w:semiHidden/>
    <w:unhideWhenUsed/>
    <w:rsid w:val="003163D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63DC"/>
    <w:rPr>
      <w:rFonts w:ascii="Tahoma" w:hAnsi="Tahoma" w:cs="Tahoma"/>
      <w:sz w:val="16"/>
      <w:szCs w:val="16"/>
    </w:rPr>
  </w:style>
  <w:style w:type="character" w:styleId="BesuchterHyperlink">
    <w:name w:val="FollowedHyperlink"/>
    <w:basedOn w:val="Absatz-Standardschriftart"/>
    <w:uiPriority w:val="99"/>
    <w:semiHidden/>
    <w:unhideWhenUsed/>
    <w:rsid w:val="00113DE0"/>
    <w:rPr>
      <w:color w:val="800080" w:themeColor="followedHyperlink"/>
      <w:u w:val="single"/>
    </w:rPr>
  </w:style>
  <w:style w:type="paragraph" w:styleId="berarbeitung">
    <w:name w:val="Revision"/>
    <w:hidden/>
    <w:uiPriority w:val="99"/>
    <w:semiHidden/>
    <w:rsid w:val="00380DCB"/>
    <w:pPr>
      <w:spacing w:after="0" w:line="240" w:lineRule="auto"/>
    </w:pPr>
  </w:style>
</w:styles>
</file>

<file path=word/webSettings.xml><?xml version="1.0" encoding="utf-8"?>
<w:webSettings xmlns:r="http://schemas.openxmlformats.org/officeDocument/2006/relationships" xmlns:w="http://schemas.openxmlformats.org/wordprocessingml/2006/main">
  <w:divs>
    <w:div w:id="1407653940">
      <w:bodyDiv w:val="1"/>
      <w:marLeft w:val="0"/>
      <w:marRight w:val="0"/>
      <w:marTop w:val="0"/>
      <w:marBottom w:val="0"/>
      <w:divBdr>
        <w:top w:val="none" w:sz="0" w:space="0" w:color="auto"/>
        <w:left w:val="none" w:sz="0" w:space="0" w:color="auto"/>
        <w:bottom w:val="none" w:sz="0" w:space="0" w:color="auto"/>
        <w:right w:val="none" w:sz="0" w:space="0" w:color="auto"/>
      </w:divBdr>
      <w:divsChild>
        <w:div w:id="1853452705">
          <w:marLeft w:val="346"/>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ynsclub.de/impfstopp-sofor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aynsclub.de" TargetMode="External"/><Relationship Id="rId4" Type="http://schemas.openxmlformats.org/officeDocument/2006/relationships/settings" Target="settings.xml"/><Relationship Id="rId9" Type="http://schemas.openxmlformats.org/officeDocument/2006/relationships/hyperlink" Target="mailto:b_lattrell@yahoo.co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rwi-essen.de/unstatistik/"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D7340B-7FD8-4C46-945B-E2D8E51D0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1664</Words>
  <Characters>10487</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FUX</dc:creator>
  <cp:lastModifiedBy>FUX</cp:lastModifiedBy>
  <cp:revision>5</cp:revision>
  <cp:lastPrinted>2022-02-24T19:50:00Z</cp:lastPrinted>
  <dcterms:created xsi:type="dcterms:W3CDTF">2022-02-24T18:15:00Z</dcterms:created>
  <dcterms:modified xsi:type="dcterms:W3CDTF">2022-02-24T19:51:00Z</dcterms:modified>
</cp:coreProperties>
</file>